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sz w:val="44"/>
          <w:szCs w:val="44"/>
        </w:rPr>
        <w:t>淄博市卫生健康委员会</w:t>
      </w:r>
    </w:p>
    <w:p>
      <w:pPr>
        <w:pStyle w:val="6"/>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sz w:val="44"/>
          <w:szCs w:val="44"/>
        </w:rPr>
        <w:t>2018年度政府信息公开年度报告</w:t>
      </w:r>
    </w:p>
    <w:p>
      <w:pPr>
        <w:pStyle w:val="6"/>
        <w:keepNext w:val="0"/>
        <w:keepLines w:val="0"/>
        <w:widowControl/>
        <w:suppressLineNumbers w:val="0"/>
        <w:spacing w:before="0" w:beforeAutospacing="0" w:after="0" w:afterAutospacing="0" w:line="660" w:lineRule="atLeast"/>
        <w:ind w:left="0" w:right="0"/>
        <w:jc w:val="center"/>
      </w:pPr>
      <w:r>
        <w:rPr>
          <w:rFonts w:hint="eastAsia" w:ascii="宋体" w:hAnsi="宋体" w:eastAsia="宋体" w:cs="宋体"/>
          <w:sz w:val="44"/>
          <w:szCs w:val="44"/>
        </w:rPr>
        <w:t> </w:t>
      </w:r>
    </w:p>
    <w:p>
      <w:pPr>
        <w:pStyle w:val="6"/>
        <w:keepNext w:val="0"/>
        <w:keepLines w:val="0"/>
        <w:widowControl/>
        <w:suppressLineNumbers w:val="0"/>
        <w:spacing w:before="0" w:beforeAutospacing="0" w:after="0" w:afterAutospacing="0" w:line="660" w:lineRule="atLeast"/>
        <w:ind w:left="0" w:right="0"/>
        <w:jc w:val="left"/>
      </w:pPr>
      <w:r>
        <w:rPr>
          <w:rFonts w:ascii="仿宋_GB2312" w:eastAsia="仿宋_GB2312" w:cs="仿宋_GB2312"/>
          <w:sz w:val="32"/>
          <w:szCs w:val="32"/>
        </w:rPr>
        <w:t>    </w:t>
      </w:r>
      <w:r>
        <w:rPr>
          <w:rFonts w:hint="default" w:ascii="仿宋_GB2312" w:eastAsia="仿宋_GB2312" w:cs="仿宋_GB2312"/>
          <w:sz w:val="32"/>
          <w:szCs w:val="32"/>
        </w:rPr>
        <w:t>本年度报告根据《中华人民共和国政府信息公开条例》（以下简称《条例》）和《山东省政府信息公开办法》（以下简称《办法》）要求，由淄博市卫生健康委员会编制。全文由概述、2018年政务公开工作完成情况、2019年工作打算以及年度公开情况统计表四部分组成。本年度报告中所列数据的统计期限自2018年1月1日起至12月31日止。报告的电子版可在淄博市政府网站（</w:t>
      </w:r>
      <w:r>
        <w:fldChar w:fldCharType="begin"/>
      </w:r>
      <w:r>
        <w:instrText xml:space="preserve"> HYPERLINK "http://www.zibo.gov.cn/）上下载" </w:instrText>
      </w:r>
      <w:r>
        <w:fldChar w:fldCharType="separate"/>
      </w:r>
      <w:r>
        <w:rPr>
          <w:rStyle w:val="10"/>
          <w:rFonts w:hint="default" w:ascii="仿宋_GB2312" w:eastAsia="仿宋_GB2312" w:cs="仿宋_GB2312"/>
          <w:sz w:val="32"/>
          <w:szCs w:val="32"/>
        </w:rPr>
        <w:t>http://www.zibo.gov.cn/）上下载</w:t>
      </w:r>
      <w:r>
        <w:fldChar w:fldCharType="end"/>
      </w:r>
      <w:r>
        <w:rPr>
          <w:rFonts w:hint="default" w:ascii="仿宋_GB2312" w:eastAsia="仿宋_GB2312" w:cs="仿宋_GB2312"/>
          <w:sz w:val="32"/>
          <w:szCs w:val="32"/>
        </w:rPr>
        <w:t>。                                                                                                                                                                                                                                                                                                                                                                                                                                                                                                                                                                                                                                                                                                                                                                                                                                                                                                                                                                                                                                                                                                                                                                                                                                                                                                    </w:t>
      </w:r>
    </w:p>
    <w:p>
      <w:pPr>
        <w:keepNext w:val="0"/>
        <w:keepLines w:val="0"/>
        <w:widowControl/>
        <w:numPr>
          <w:ilvl w:val="0"/>
          <w:numId w:val="1"/>
        </w:numPr>
        <w:suppressLineNumbers w:val="0"/>
        <w:spacing w:before="0" w:beforeAutospacing="1" w:after="0" w:afterAutospacing="1"/>
        <w:ind w:left="720" w:hanging="360"/>
        <w:rPr>
          <w:rFonts w:ascii="黑体" w:hAnsi="宋体" w:eastAsia="黑体" w:cs="黑体"/>
          <w:color w:val="000000"/>
          <w:sz w:val="32"/>
          <w:szCs w:val="32"/>
        </w:rPr>
      </w:pPr>
      <w:r>
        <w:rPr>
          <w:rFonts w:hint="eastAsia" w:ascii="黑体" w:hAnsi="宋体" w:eastAsia="黑体" w:cs="黑体"/>
          <w:color w:val="000000"/>
          <w:sz w:val="32"/>
          <w:szCs w:val="32"/>
        </w:rPr>
        <w:t>概述</w:t>
      </w:r>
      <w:r>
        <w:rPr>
          <w:rFonts w:hint="default" w:ascii="仿宋_GB2312" w:hAnsi="宋体" w:eastAsia="仿宋_GB2312" w:cs="仿宋_GB2312"/>
          <w:color w:val="000000"/>
          <w:sz w:val="32"/>
          <w:szCs w:val="32"/>
        </w:rPr>
        <w:t> </w:t>
      </w:r>
      <w:r>
        <w:rPr>
          <w:rFonts w:hint="default" w:ascii="仿宋_GB2312" w:hAnsi="宋体" w:eastAsia="仿宋_GB2312" w:cs="仿宋_GB2312"/>
          <w:color w:val="000000"/>
          <w:sz w:val="32"/>
          <w:szCs w:val="32"/>
        </w:rPr>
        <w:br w:type="page"/>
      </w:r>
      <w:r>
        <w:rPr>
          <w:rFonts w:hint="default" w:ascii="仿宋_GB2312" w:hAnsi="宋体" w:eastAsia="仿宋_GB2312" w:cs="仿宋_GB2312"/>
          <w:color w:val="000000"/>
          <w:sz w:val="32"/>
          <w:szCs w:val="32"/>
        </w:rPr>
        <w:t>强领导、明确责任，及时部署、积极推动，健全制度、拓展形式，加强检查、抓好监督，平稳、有序地推进政府信息和医疗卫生机构信息公开工作。2018年，我委信息公开工作在服务经济社会发展、转变政府职能、保证行政权力公开透明运行和保障公民知情权、参与权、表达权、监督权等方面发挥了积极作用。</w:t>
      </w:r>
      <w:r>
        <w:rPr>
          <w:rStyle w:val="9"/>
          <w:rFonts w:ascii="楷体" w:hAnsi="楷体" w:eastAsia="楷体" w:cs="楷体"/>
          <w:color w:val="000000"/>
          <w:sz w:val="32"/>
          <w:szCs w:val="32"/>
        </w:rPr>
        <w:t>（一）加强政务信息主动公开</w:t>
      </w:r>
      <w:r>
        <w:rPr>
          <w:rStyle w:val="9"/>
          <w:rFonts w:hint="default" w:ascii="仿宋_GB2312" w:hAnsi="宋体" w:eastAsia="仿宋_GB2312" w:cs="仿宋_GB2312"/>
          <w:color w:val="000000"/>
          <w:sz w:val="32"/>
          <w:szCs w:val="32"/>
        </w:rPr>
        <w:t>二是多形式丰富信息公开渠道。</w:t>
      </w:r>
      <w:r>
        <w:rPr>
          <w:rFonts w:hint="default" w:ascii="仿宋_GB2312" w:hAnsi="宋体" w:eastAsia="仿宋_GB2312" w:cs="仿宋_GB2312"/>
          <w:color w:val="000000"/>
          <w:sz w:val="32"/>
          <w:szCs w:val="32"/>
        </w:rPr>
        <w:t xml:space="preserve">加强政务信息公开渠道建设，积极利用电视、广播、报纸、杂志、网站、宣传栏等传统渠道发布卫生计生政务信息，我委在政府网站公开信息数801条，其中规范公开性文件数5条。同时采用组织媒体集中采访报道、专项工作媒体访谈等形式发布重大政策或重点工作信息。我委在淄博人民广播电台FM100设立的《淄博好医生》栏目，向市民科普健康知识，每周播出6期，每期30分钟，受到市民一致赞誉。今年以来，各大新闻媒体集中报道了我市“第一村医”基层医疗服务体系建设的经验做法，省市10余家媒体跟踪拍摄第一村医微视频近百部，取得了良好的社会效果。此外，我委积极做好微信公众平台的信息发布，确定专人负责信息更新，累计在“淄博卫生健康”发布微信960余条，“淄博健康文明”发布微信230余条，“淄博卫生”发布微博1265条，目前“淄博卫生”微博粉丝7300余人、微信公众号关注数累计达到5万人。 </w:t>
      </w:r>
      <w:r>
        <w:rPr>
          <w:rStyle w:val="9"/>
          <w:rFonts w:hint="eastAsia" w:ascii="楷体" w:hAnsi="楷体" w:eastAsia="楷体" w:cs="楷体"/>
          <w:color w:val="000000"/>
          <w:sz w:val="32"/>
          <w:szCs w:val="32"/>
        </w:rPr>
        <w:t>(二)加强政策解读和热点回应</w:t>
      </w:r>
      <w:r>
        <w:rPr>
          <w:rStyle w:val="9"/>
          <w:rFonts w:hint="default" w:ascii="仿宋_GB2312" w:hAnsi="宋体" w:eastAsia="仿宋_GB2312" w:cs="仿宋_GB2312"/>
          <w:color w:val="000000"/>
          <w:sz w:val="32"/>
          <w:szCs w:val="32"/>
        </w:rPr>
        <w:t>二是增强舆情敏感性及时做好热点回应。</w:t>
      </w:r>
      <w:r>
        <w:rPr>
          <w:rFonts w:hint="default" w:ascii="仿宋_GB2312" w:hAnsi="宋体" w:eastAsia="仿宋_GB2312" w:cs="仿宋_GB2312"/>
          <w:color w:val="000000"/>
          <w:sz w:val="32"/>
          <w:szCs w:val="32"/>
        </w:rPr>
        <w:t>进一步加大网络舆情监测力度，建立健全了网上舆情监测、收集、研判和回应机制，配备专人开展网络舆情监测，并根据舆情发展态势及时组织力量通过网站热点回应栏目发布信息、安排信息网评员跟帖回应、及时发布权威解读等方式对公众关切的问题进行回应，并将相关信息存档，在“淄博卫生”网站设立“局长信箱”专栏，做到及时看及时回复，重要信息进行电话回访。2018年以来，针对引起网民热议的长生疫苗事件、685基药目录、抗癌药零关税等热点问题分别通过专家解答、知识科普等形式积极予以了回应，公布了权威准确的信息，起到了较好的社会效果。根据全市2018年政务公开要点的要求，在委机关网站建立重点领域信息公开专栏，按要求对2018年度医疗卫生重点领域信息项目进行了公开。一是推进公开医疗机构院务公开工作。要求各市属医疗机构按照规定要求公开各市级医疗机构院务公开目录规定的信息。我委直属各医疗机构均建立了院务公开推进和监督机构，落实制定专门方案并落实专人推进工作，一年来累计发布院务信息(开展宣传)2000余次。二是推进医疗机构做好常规医疗服务价格、常用药品和主要医用耗材价格信息公示。委属医疗机构能够严格按照《医院信息公开目录》的要求，通过微博、微信、手机APP、LED电子显示屏、自助查询机、智慧医疗一体机、医院橱窗等多种载体开展做好服务信息公开工作。三是公开医养结合、健康管理等新型服务业消费情况。通过专栏公布我市推进医养结合工作的工作方案，重点公布我市推进医养结合的政策、举措和成效，并就博山区、沂源县涌现的典型做法予以了推介。四是推进医德医风建设，通过专栏重点公布医疗卫生行风建设等卫生计生行风纪律的有关规定，建立违规违纪问题处理结果公开机制，改善群众就医感受。进一步做好政府信息依申请公开，优化委机关网站“依申请公开”栏目的内容，专门制定了依申请公开制度、梳理了办理流程图、提供了申请表格文本下载，并对有关办理说明进行调整。规范市政府政务信息公开平台的办理和操作，对我委收到的政府公开申请件均录入系统，并规范答复。2018年，我委共收到依申请公开9件，全部通过网络申请；申请答复数18件，其中属</w:t>
      </w:r>
      <w:r>
        <w:rPr>
          <w:rStyle w:val="9"/>
          <w:rFonts w:hint="eastAsia" w:ascii="楷体" w:hAnsi="楷体" w:eastAsia="楷体" w:cs="楷体"/>
          <w:color w:val="000000"/>
          <w:sz w:val="32"/>
          <w:szCs w:val="32"/>
        </w:rPr>
        <w:t> (五)完善政务信息平台和制度建设</w:t>
      </w:r>
      <w:r>
        <w:rPr>
          <w:rFonts w:hint="eastAsia" w:ascii="黑体" w:hAnsi="宋体" w:eastAsia="黑体" w:cs="黑体"/>
          <w:color w:val="000000"/>
          <w:sz w:val="32"/>
          <w:szCs w:val="32"/>
        </w:rPr>
        <w:t>三、2019年工作打算</w:t>
      </w:r>
      <w:r>
        <w:rPr>
          <w:rStyle w:val="9"/>
          <w:rFonts w:hint="eastAsia" w:ascii="楷体" w:hAnsi="楷体" w:eastAsia="楷体" w:cs="楷体"/>
          <w:color w:val="000000"/>
          <w:sz w:val="32"/>
          <w:szCs w:val="32"/>
        </w:rPr>
        <w:t>（一）加快卫生信息公开工作的融合。</w:t>
      </w:r>
      <w:r>
        <w:rPr>
          <w:rFonts w:hint="default" w:ascii="仿宋_GB2312" w:hAnsi="宋体" w:eastAsia="仿宋_GB2312" w:cs="仿宋_GB2312"/>
          <w:color w:val="000000"/>
          <w:sz w:val="32"/>
          <w:szCs w:val="32"/>
        </w:rPr>
        <w:t>2019年我们将按照市委市政府关于机构改革的意见，加快开展各项工作，整合信息公开栏目，优化信息公开内容，使卫生计生和老龄工作服务社会发展、服务群众需求的目标取得更大的成效。</w:t>
      </w:r>
      <w:r>
        <w:rPr>
          <w:rStyle w:val="9"/>
          <w:rFonts w:hint="eastAsia" w:ascii="楷体" w:hAnsi="楷体" w:eastAsia="楷体" w:cs="楷体"/>
          <w:color w:val="000000"/>
          <w:sz w:val="32"/>
          <w:szCs w:val="32"/>
        </w:rPr>
        <w:t>（三）拓宽信息公开范畴。</w:t>
      </w:r>
      <w:r>
        <w:rPr>
          <w:rFonts w:hint="default" w:ascii="仿宋_GB2312" w:hAnsi="宋体" w:eastAsia="仿宋_GB2312" w:cs="仿宋_GB2312"/>
          <w:color w:val="000000"/>
          <w:sz w:val="32"/>
          <w:szCs w:val="32"/>
        </w:rPr>
        <w:t>不断丰富信息公开形式、加强形式多样化，通过更多的渠道使机关和直属单位信息更加公开、透明。充分发挥好淄博卫生健康网站和“两微一端”客户平台作用，不断巩固信息公开成果。</w:t>
      </w:r>
      <w:r>
        <w:rPr>
          <w:rStyle w:val="9"/>
          <w:rFonts w:hint="eastAsia" w:ascii="楷体" w:hAnsi="楷体" w:eastAsia="楷体" w:cs="楷体"/>
          <w:color w:val="000000"/>
          <w:sz w:val="32"/>
          <w:szCs w:val="32"/>
        </w:rPr>
        <w:t>（五）建立信息公开长效机制。</w:t>
      </w:r>
      <w:r>
        <w:rPr>
          <w:rFonts w:hint="default" w:ascii="仿宋_GB2312" w:hAnsi="宋体" w:eastAsia="仿宋_GB2312" w:cs="仿宋_GB2312"/>
          <w:color w:val="000000"/>
          <w:sz w:val="32"/>
          <w:szCs w:val="32"/>
        </w:rPr>
        <w:t>完善信息公开制度，深入、持续、高效开展信息公开工作。完善督查和指导，政府信息公开领导小组加强对机关和直属医疗卫生事业单位信息公开工作的检查指导，制定督查表，督促各部门、各单位及时更新目录内容，完成信息公开各项工作任务。 附件：淄博市卫生健康委员会政府信息公开情况统计表淄博市卫生健康委员会</w:t>
      </w:r>
      <w:r>
        <w:rPr>
          <w:rFonts w:hint="eastAsia" w:ascii="宋体" w:hAnsi="宋体" w:eastAsia="宋体" w:cs="宋体"/>
          <w:color w:val="000000"/>
          <w:sz w:val="36"/>
          <w:szCs w:val="36"/>
        </w:rPr>
        <w:t>2018年度政府信息公开工作情况统计表</w:t>
      </w:r>
    </w:p>
    <w:p>
      <w:pPr>
        <w:keepNext w:val="0"/>
        <w:keepLines w:val="0"/>
        <w:widowControl/>
        <w:numPr>
          <w:ilvl w:val="0"/>
          <w:numId w:val="1"/>
        </w:numPr>
        <w:suppressLineNumbers w:val="0"/>
        <w:spacing w:before="0" w:beforeAutospacing="0" w:after="0" w:afterAutospacing="0" w:line="560" w:lineRule="atLeast"/>
        <w:ind w:left="720" w:hanging="360"/>
        <w:jc w:val="center"/>
        <w:rPr>
          <w:color w:val="000000"/>
          <w:sz w:val="21"/>
          <w:szCs w:val="21"/>
        </w:rPr>
      </w:pPr>
      <w:r>
        <w:rPr>
          <w:rFonts w:ascii="楷体_GB2312" w:eastAsia="楷体_GB2312" w:cs="楷体_GB2312"/>
          <w:color w:val="000000"/>
          <w:sz w:val="32"/>
          <w:szCs w:val="32"/>
        </w:rPr>
        <w:t>（市卫生健康委员会）</w:t>
      </w:r>
      <w:r>
        <w:rPr>
          <w:rFonts w:hint="default" w:ascii="楷体_GB2312" w:eastAsia="楷体_GB2312" w:cs="楷体_GB2312"/>
          <w:color w:val="000000"/>
          <w:sz w:val="32"/>
          <w:szCs w:val="32"/>
        </w:rPr>
        <w:t xml:space="preserve"> </w:t>
      </w:r>
    </w:p>
    <w:p>
      <w:pPr>
        <w:keepNext w:val="0"/>
        <w:keepLines w:val="0"/>
        <w:widowControl/>
        <w:numPr>
          <w:ilvl w:val="0"/>
          <w:numId w:val="1"/>
        </w:numPr>
        <w:suppressLineNumbers w:val="0"/>
        <w:spacing w:before="0" w:beforeAutospacing="0" w:after="0" w:afterAutospacing="0"/>
        <w:ind w:left="720" w:hanging="360"/>
        <w:jc w:val="left"/>
        <w:rPr>
          <w:rFonts w:ascii="Calibri" w:hAnsi="Calibri" w:cs="Calibri"/>
          <w:color w:val="000000"/>
          <w:sz w:val="21"/>
          <w:szCs w:val="21"/>
        </w:rPr>
      </w:pPr>
      <w:r>
        <w:rPr>
          <w:rFonts w:hint="default" w:ascii="仿宋_GB2312" w:hAnsi="Calibri" w:eastAsia="仿宋_GB2312" w:cs="仿宋_GB2312"/>
          <w:color w:val="000000"/>
          <w:sz w:val="32"/>
          <w:szCs w:val="32"/>
        </w:rPr>
        <w:t>                                     2019年1月</w:t>
      </w:r>
      <w:r>
        <w:rPr>
          <w:rFonts w:hint="default" w:ascii="仿宋_GB2312" w:hAnsi="Calibri" w:eastAsia="仿宋_GB2312" w:cs="仿宋_GB2312"/>
          <w:color w:val="000000"/>
          <w:sz w:val="32"/>
          <w:szCs w:val="32"/>
        </w:rPr>
        <w:br w:type="page"/>
      </w:r>
      <w:r>
        <w:rPr>
          <w:rFonts w:hint="default" w:ascii="仿宋_GB2312" w:hAnsi="Calibri" w:eastAsia="仿宋_GB2312" w:cs="仿宋_GB2312"/>
          <w:color w:val="000000"/>
          <w:sz w:val="32"/>
          <w:szCs w:val="32"/>
        </w:rPr>
        <w:t>附件：</w:t>
      </w:r>
    </w:p>
    <w:p>
      <w:pPr>
        <w:keepNext w:val="0"/>
        <w:keepLines w:val="0"/>
        <w:widowControl/>
        <w:numPr>
          <w:ilvl w:val="0"/>
          <w:numId w:val="1"/>
        </w:numPr>
        <w:suppressLineNumbers w:val="0"/>
        <w:spacing w:before="0" w:beforeAutospacing="0" w:after="0" w:afterAutospacing="0"/>
        <w:ind w:left="720" w:hanging="360"/>
        <w:rPr>
          <w:rFonts w:hint="default" w:ascii="Calibri" w:hAnsi="Calibri" w:cs="Calibri"/>
          <w:color w:val="000000"/>
          <w:sz w:val="21"/>
          <w:szCs w:val="21"/>
        </w:rPr>
      </w:pPr>
      <w:r>
        <w:rPr>
          <w:rFonts w:hint="default" w:ascii="仿宋_GB2312" w:hAnsi="Calibri" w:eastAsia="仿宋_GB2312" w:cs="仿宋_GB2312"/>
          <w:color w:val="000000"/>
          <w:sz w:val="32"/>
          <w:szCs w:val="32"/>
        </w:rPr>
        <w:t> </w:t>
      </w:r>
    </w:p>
    <w:p>
      <w:pPr>
        <w:keepNext w:val="0"/>
        <w:keepLines w:val="0"/>
        <w:widowControl/>
        <w:numPr>
          <w:ilvl w:val="0"/>
          <w:numId w:val="1"/>
        </w:numPr>
        <w:suppressLineNumbers w:val="0"/>
        <w:spacing w:before="0" w:beforeAutospacing="0" w:after="0" w:afterAutospacing="0" w:line="560" w:lineRule="atLeast"/>
        <w:ind w:left="720" w:hanging="360"/>
        <w:rPr>
          <w:rFonts w:hint="default" w:ascii="Calibri" w:hAnsi="Calibri" w:cs="Calibri"/>
          <w:color w:val="000000"/>
          <w:sz w:val="21"/>
          <w:szCs w:val="21"/>
        </w:rPr>
      </w:pPr>
      <w:r>
        <w:rPr>
          <w:rFonts w:hint="default" w:ascii="仿宋_GB2312" w:hAnsi="Calibri" w:eastAsia="仿宋_GB2312" w:cs="仿宋_GB2312"/>
          <w:color w:val="000000"/>
          <w:sz w:val="32"/>
          <w:szCs w:val="32"/>
        </w:rPr>
        <w:t> </w:t>
      </w:r>
    </w:p>
    <w:p>
      <w:pPr>
        <w:keepNext w:val="0"/>
        <w:keepLines w:val="0"/>
        <w:widowControl/>
        <w:numPr>
          <w:ilvl w:val="0"/>
          <w:numId w:val="1"/>
        </w:numPr>
        <w:suppressLineNumbers w:val="0"/>
        <w:spacing w:before="0" w:beforeAutospacing="0" w:after="0" w:afterAutospacing="0" w:line="560" w:lineRule="atLeast"/>
        <w:ind w:left="720" w:hanging="360"/>
        <w:rPr>
          <w:rFonts w:hint="default" w:ascii="Calibri" w:hAnsi="Calibri" w:cs="Calibri"/>
          <w:color w:val="000000"/>
          <w:sz w:val="21"/>
          <w:szCs w:val="21"/>
        </w:rPr>
      </w:pPr>
      <w:r>
        <w:rPr>
          <w:rStyle w:val="9"/>
          <w:rFonts w:hint="eastAsia" w:ascii="楷体" w:hAnsi="楷体" w:eastAsia="楷体" w:cs="楷体"/>
          <w:color w:val="000000"/>
          <w:sz w:val="32"/>
          <w:szCs w:val="32"/>
        </w:rPr>
        <w:t>（四）加强政府信息公开研究。</w:t>
      </w:r>
      <w:r>
        <w:rPr>
          <w:rFonts w:hint="default" w:ascii="仿宋_GB2312" w:hAnsi="Calibri" w:eastAsia="仿宋_GB2312" w:cs="仿宋_GB2312"/>
          <w:color w:val="000000"/>
          <w:sz w:val="32"/>
          <w:szCs w:val="32"/>
        </w:rPr>
        <w:t>通过座谈培训、典型案例通报、现场示范等方式深化对政府信息公开工作的认识，提高工作队伍的业务水平。根据行业管理特点和工作实践，对依申请公开内容较多的案件进行分析，对能够转化为主动公开的信息及时转化为主动公开，减少申请人重复申请，充分发挥政府信息公开在完善行政决策、规范权力运行、预防滋生腐败和保障群众利益等方面的重要作用。</w:t>
      </w:r>
    </w:p>
    <w:p>
      <w:pPr>
        <w:keepNext w:val="0"/>
        <w:keepLines w:val="0"/>
        <w:widowControl/>
        <w:numPr>
          <w:ilvl w:val="0"/>
          <w:numId w:val="1"/>
        </w:numPr>
        <w:suppressLineNumbers w:val="0"/>
        <w:spacing w:before="0" w:beforeAutospacing="0" w:after="0" w:afterAutospacing="0" w:line="560" w:lineRule="atLeast"/>
        <w:ind w:left="720" w:hanging="360"/>
        <w:rPr>
          <w:rFonts w:hint="default" w:ascii="Calibri" w:hAnsi="Calibri" w:cs="Calibri"/>
          <w:color w:val="000000"/>
          <w:sz w:val="21"/>
          <w:szCs w:val="21"/>
        </w:rPr>
      </w:pPr>
      <w:r>
        <w:rPr>
          <w:rStyle w:val="9"/>
          <w:rFonts w:hint="eastAsia" w:ascii="楷体" w:hAnsi="楷体" w:eastAsia="楷体" w:cs="楷体"/>
          <w:color w:val="000000"/>
          <w:sz w:val="32"/>
          <w:szCs w:val="32"/>
        </w:rPr>
        <w:t>（二）规范信息公开流程。</w:t>
      </w:r>
      <w:r>
        <w:rPr>
          <w:rFonts w:hint="default" w:ascii="仿宋_GB2312" w:hAnsi="Calibri" w:eastAsia="仿宋_GB2312" w:cs="仿宋_GB2312"/>
          <w:color w:val="000000"/>
          <w:sz w:val="32"/>
          <w:szCs w:val="32"/>
        </w:rPr>
        <w:t>秉着方便公众查阅的原则，不断提升信息公开的及时性和质量。做好信息公开各项数据统计工作。通过数据统计分析，查找信息公开的薄弱环节和关键目录，做到公开及时、全面、有效。</w:t>
      </w:r>
    </w:p>
    <w:p>
      <w:pPr>
        <w:keepNext w:val="0"/>
        <w:keepLines w:val="0"/>
        <w:widowControl/>
        <w:numPr>
          <w:ilvl w:val="0"/>
          <w:numId w:val="1"/>
        </w:numPr>
        <w:suppressLineNumbers w:val="0"/>
        <w:spacing w:before="0" w:beforeAutospacing="0" w:after="0" w:afterAutospacing="0" w:line="560" w:lineRule="atLeast"/>
        <w:ind w:left="720" w:hanging="360"/>
        <w:rPr>
          <w:rFonts w:hint="default" w:ascii="Calibri" w:hAnsi="Calibri" w:cs="Calibri"/>
          <w:color w:val="000000"/>
          <w:sz w:val="21"/>
          <w:szCs w:val="21"/>
        </w:rPr>
      </w:pPr>
      <w:r>
        <w:rPr>
          <w:rFonts w:hint="default" w:ascii="仿宋_GB2312" w:hAnsi="Calibri" w:eastAsia="仿宋_GB2312" w:cs="仿宋_GB2312"/>
          <w:color w:val="000000"/>
          <w:sz w:val="32"/>
          <w:szCs w:val="32"/>
        </w:rPr>
        <w:t>2019年，我委将在市委、市政府领导下，积极落实国家和省、市关于全面推进政务公开工作的决策部署，进一步加大政务公开力度，全面推进决策、执行、管理、服务和结果公开，不断提升卫生计生政务公开工作水平，重点在以下五方面抓好落实。</w:t>
      </w:r>
    </w:p>
    <w:p>
      <w:pPr>
        <w:keepNext w:val="0"/>
        <w:keepLines w:val="0"/>
        <w:widowControl/>
        <w:numPr>
          <w:ilvl w:val="0"/>
          <w:numId w:val="1"/>
        </w:numPr>
        <w:suppressLineNumbers w:val="0"/>
        <w:spacing w:before="0" w:beforeAutospacing="0" w:after="0" w:afterAutospacing="0" w:line="560" w:lineRule="atLeast"/>
        <w:ind w:left="720" w:hanging="360"/>
        <w:rPr>
          <w:rFonts w:hint="default" w:ascii="Calibri" w:hAnsi="Calibri" w:cs="Calibri"/>
          <w:color w:val="000000"/>
          <w:sz w:val="21"/>
          <w:szCs w:val="21"/>
        </w:rPr>
      </w:pPr>
      <w:r>
        <w:rPr>
          <w:rFonts w:hint="default" w:ascii="仿宋_GB2312" w:hAnsi="Calibri" w:eastAsia="仿宋_GB2312" w:cs="仿宋_GB2312"/>
          <w:color w:val="000000"/>
          <w:sz w:val="32"/>
          <w:szCs w:val="32"/>
        </w:rPr>
        <w:t>　　我委按照《条例》、《办法》，坚持“公开为原则，不公开为例外”，继续认真、扎实做好主动公开政府信息的发布工作，主动公开政府信息的及时发布率及公文主动公开率均维持较高水平。2018年度，市卫生健康委在政府网站新增主动公开政府信息788条。</w:t>
      </w:r>
    </w:p>
    <w:p>
      <w:pPr>
        <w:keepNext w:val="0"/>
        <w:keepLines w:val="0"/>
        <w:widowControl/>
        <w:numPr>
          <w:ilvl w:val="0"/>
          <w:numId w:val="1"/>
        </w:numPr>
        <w:suppressLineNumbers w:val="0"/>
        <w:spacing w:before="0" w:beforeAutospacing="0" w:after="0" w:afterAutospacing="0" w:line="560" w:lineRule="atLeast"/>
        <w:ind w:left="720" w:hanging="360"/>
        <w:jc w:val="left"/>
        <w:rPr>
          <w:rFonts w:hint="default" w:ascii="Calibri" w:hAnsi="Calibri" w:cs="Calibri"/>
          <w:color w:val="000000"/>
          <w:sz w:val="21"/>
          <w:szCs w:val="21"/>
        </w:rPr>
      </w:pPr>
      <w:r>
        <w:rPr>
          <w:rFonts w:hint="default" w:ascii="仿宋_GB2312" w:hAnsi="Calibri" w:eastAsia="仿宋_GB2312" w:cs="仿宋_GB2312"/>
          <w:color w:val="000000"/>
          <w:sz w:val="32"/>
          <w:szCs w:val="32"/>
        </w:rPr>
        <w:t>于主动公开范围数9件，同意公开答复数9件。未因政府信息公开申请答复引起行政复议，全年未向申请人收取有关费用。</w:t>
      </w:r>
    </w:p>
    <w:p>
      <w:pPr>
        <w:keepNext w:val="0"/>
        <w:keepLines w:val="0"/>
        <w:widowControl/>
        <w:numPr>
          <w:ilvl w:val="0"/>
          <w:numId w:val="1"/>
        </w:numPr>
        <w:suppressLineNumbers w:val="0"/>
        <w:spacing w:before="0" w:beforeAutospacing="0" w:after="0" w:afterAutospacing="0" w:line="560" w:lineRule="atLeast"/>
        <w:ind w:left="720" w:hanging="360"/>
        <w:rPr>
          <w:rFonts w:hint="default" w:ascii="Calibri" w:hAnsi="Calibri" w:cs="Calibri"/>
          <w:color w:val="000000"/>
          <w:sz w:val="21"/>
          <w:szCs w:val="21"/>
        </w:rPr>
      </w:pPr>
      <w:r>
        <w:rPr>
          <w:rStyle w:val="9"/>
          <w:rFonts w:hint="eastAsia" w:ascii="楷体" w:hAnsi="楷体" w:eastAsia="楷体" w:cs="楷体"/>
          <w:color w:val="000000"/>
          <w:sz w:val="32"/>
          <w:szCs w:val="32"/>
        </w:rPr>
        <w:t>(四)依法规范开展依申请公开</w:t>
      </w:r>
    </w:p>
    <w:p>
      <w:pPr>
        <w:keepNext w:val="0"/>
        <w:keepLines w:val="0"/>
        <w:widowControl/>
        <w:numPr>
          <w:ilvl w:val="0"/>
          <w:numId w:val="1"/>
        </w:numPr>
        <w:suppressLineNumbers w:val="0"/>
        <w:spacing w:before="0" w:beforeAutospacing="0" w:after="0" w:afterAutospacing="0"/>
        <w:ind w:left="720" w:hanging="360"/>
        <w:rPr>
          <w:rFonts w:hint="default" w:ascii="Calibri" w:hAnsi="Calibri" w:cs="Calibri"/>
          <w:color w:val="000000"/>
          <w:sz w:val="21"/>
          <w:szCs w:val="21"/>
        </w:rPr>
      </w:pPr>
      <w:r>
        <w:rPr>
          <w:rStyle w:val="9"/>
          <w:rFonts w:hint="eastAsia" w:ascii="楷体" w:hAnsi="楷体" w:eastAsia="楷体" w:cs="楷体"/>
          <w:color w:val="000000"/>
          <w:sz w:val="32"/>
          <w:szCs w:val="32"/>
        </w:rPr>
        <w:t>(三)强化重点领域信息公开</w:t>
      </w:r>
    </w:p>
    <w:p>
      <w:pPr>
        <w:keepNext w:val="0"/>
        <w:keepLines w:val="0"/>
        <w:widowControl/>
        <w:numPr>
          <w:ilvl w:val="0"/>
          <w:numId w:val="1"/>
        </w:numPr>
        <w:suppressLineNumbers w:val="0"/>
        <w:spacing w:before="0" w:beforeAutospacing="0" w:after="0" w:afterAutospacing="0" w:line="560" w:lineRule="atLeast"/>
        <w:ind w:left="720" w:hanging="360"/>
        <w:rPr>
          <w:rFonts w:hint="default" w:ascii="Calibri" w:hAnsi="Calibri" w:cs="Calibri"/>
          <w:color w:val="000000"/>
          <w:sz w:val="21"/>
          <w:szCs w:val="21"/>
        </w:rPr>
      </w:pPr>
      <w:r>
        <w:rPr>
          <w:rStyle w:val="9"/>
          <w:rFonts w:hint="default" w:ascii="仿宋_GB2312" w:hAnsi="Calibri" w:eastAsia="仿宋_GB2312" w:cs="仿宋_GB2312"/>
          <w:color w:val="000000"/>
          <w:sz w:val="32"/>
          <w:szCs w:val="32"/>
        </w:rPr>
        <w:t>一是落实有关规定加强政策解读。</w:t>
      </w:r>
      <w:r>
        <w:rPr>
          <w:rFonts w:hint="default" w:ascii="仿宋_GB2312" w:hAnsi="Calibri" w:eastAsia="仿宋_GB2312" w:cs="仿宋_GB2312"/>
          <w:color w:val="000000"/>
          <w:sz w:val="32"/>
          <w:szCs w:val="32"/>
        </w:rPr>
        <w:t>我委切实落实关于政策解读回应的相关规定，一年以来，我委就《淄博市医养健康产业发展规划2018-2022年》、《现代医院管理制度住院医师规范化培训基地（综合医院）全科医学科设置指导标准（试行）政策解读》、等10余项政策法规及时转载发布和相关的政策解读，便于公众准确了解有关政策。</w:t>
      </w:r>
    </w:p>
    <w:p>
      <w:pPr>
        <w:keepNext w:val="0"/>
        <w:keepLines w:val="0"/>
        <w:widowControl/>
        <w:numPr>
          <w:ilvl w:val="0"/>
          <w:numId w:val="1"/>
        </w:numPr>
        <w:suppressLineNumbers w:val="0"/>
        <w:spacing w:before="0" w:beforeAutospacing="0" w:after="0" w:afterAutospacing="0" w:line="560" w:lineRule="atLeast"/>
        <w:ind w:left="720" w:hanging="360"/>
        <w:rPr>
          <w:rFonts w:hint="default" w:ascii="Calibri" w:hAnsi="Calibri" w:cs="Calibri"/>
          <w:color w:val="000000"/>
          <w:sz w:val="21"/>
          <w:szCs w:val="21"/>
        </w:rPr>
      </w:pPr>
      <w:r>
        <w:rPr>
          <w:rStyle w:val="9"/>
          <w:rFonts w:hint="default" w:ascii="仿宋_GB2312" w:hAnsi="Calibri" w:eastAsia="仿宋_GB2312" w:cs="仿宋_GB2312"/>
          <w:color w:val="000000"/>
          <w:sz w:val="32"/>
          <w:szCs w:val="32"/>
        </w:rPr>
        <w:t>三是围绕医改重点发布专题信息。</w:t>
      </w:r>
      <w:r>
        <w:rPr>
          <w:rFonts w:hint="default" w:ascii="仿宋_GB2312" w:hAnsi="Calibri" w:eastAsia="仿宋_GB2312" w:cs="仿宋_GB2312"/>
          <w:color w:val="000000"/>
          <w:sz w:val="32"/>
          <w:szCs w:val="32"/>
        </w:rPr>
        <w:t>今年以来，我委在做好卫生计生各项常规工作信息公开的同时，结合年度卫生计生重点工作、重点项目以及特色亮点工作，专门在委机关网站上通过媒体聚集、政策法规、通知公告、政民互动等专题，就法规政策、改革动态、咨询问答等内容集中发布信息150余条。</w:t>
      </w:r>
    </w:p>
    <w:p>
      <w:pPr>
        <w:keepNext w:val="0"/>
        <w:keepLines w:val="0"/>
        <w:widowControl/>
        <w:numPr>
          <w:ilvl w:val="0"/>
          <w:numId w:val="1"/>
        </w:numPr>
        <w:suppressLineNumbers w:val="0"/>
        <w:spacing w:before="0" w:beforeAutospacing="0" w:after="0" w:afterAutospacing="0" w:line="560" w:lineRule="atLeast"/>
        <w:ind w:left="720" w:hanging="360"/>
        <w:rPr>
          <w:rFonts w:hint="default" w:ascii="Calibri" w:hAnsi="Calibri" w:cs="Calibri"/>
          <w:color w:val="000000"/>
          <w:sz w:val="21"/>
          <w:szCs w:val="21"/>
        </w:rPr>
      </w:pPr>
      <w:r>
        <w:rPr>
          <w:rStyle w:val="9"/>
          <w:rFonts w:hint="default" w:ascii="仿宋_GB2312" w:hAnsi="Calibri" w:eastAsia="仿宋_GB2312" w:cs="仿宋_GB2312"/>
          <w:color w:val="000000"/>
          <w:sz w:val="32"/>
          <w:szCs w:val="32"/>
        </w:rPr>
        <w:t>一是细化公开信息类别。</w:t>
      </w:r>
      <w:r>
        <w:rPr>
          <w:rFonts w:hint="default" w:ascii="仿宋_GB2312" w:hAnsi="Calibri" w:eastAsia="仿宋_GB2312" w:cs="仿宋_GB2312"/>
          <w:color w:val="000000"/>
          <w:sz w:val="32"/>
          <w:szCs w:val="32"/>
        </w:rPr>
        <w:t>按照“公开为常态，不公开为例外”的原则积极做好政务信息主动公开工作。根据政务信息公开的新形势新要求，对我委政府信息公开目录进行梳理调整，确定了机构职能、法规公文、政府会议、政务动态、政务公告、财政资金、医疗卫生、部门指南目录、政府信息公开年报共9个一级目录，子项精简调整到13个，对内容重复、有冲突的公开项目进行了整合。</w:t>
      </w:r>
    </w:p>
    <w:p>
      <w:pPr>
        <w:keepNext w:val="0"/>
        <w:keepLines w:val="0"/>
        <w:widowControl/>
        <w:numPr>
          <w:ilvl w:val="0"/>
          <w:numId w:val="1"/>
        </w:numPr>
        <w:suppressLineNumbers w:val="0"/>
        <w:spacing w:before="0" w:beforeAutospacing="0" w:after="0" w:afterAutospacing="0" w:line="560" w:lineRule="atLeast"/>
        <w:ind w:left="720" w:hanging="360"/>
        <w:rPr>
          <w:rFonts w:hint="default" w:ascii="Calibri" w:hAnsi="Calibri" w:cs="Calibri"/>
          <w:color w:val="000000"/>
          <w:sz w:val="21"/>
          <w:szCs w:val="21"/>
        </w:rPr>
      </w:pPr>
      <w:r>
        <w:rPr>
          <w:rFonts w:hint="eastAsia" w:ascii="黑体" w:hAnsi="宋体" w:eastAsia="黑体" w:cs="黑体"/>
          <w:color w:val="000000"/>
          <w:sz w:val="32"/>
          <w:szCs w:val="32"/>
        </w:rPr>
        <w:t>二、2018年政务公开工作完成情况</w:t>
      </w:r>
    </w:p>
    <w:p>
      <w:pPr>
        <w:keepNext w:val="0"/>
        <w:keepLines w:val="0"/>
        <w:widowControl/>
        <w:numPr>
          <w:ilvl w:val="0"/>
          <w:numId w:val="1"/>
        </w:numPr>
        <w:suppressLineNumbers w:val="0"/>
        <w:spacing w:before="0" w:beforeAutospacing="0" w:after="0" w:afterAutospacing="0" w:line="560" w:lineRule="atLeast"/>
        <w:ind w:left="720" w:hanging="360"/>
        <w:rPr>
          <w:rFonts w:hint="default" w:ascii="Calibri" w:hAnsi="Calibri" w:cs="Calibri"/>
          <w:color w:val="000000"/>
          <w:sz w:val="21"/>
          <w:szCs w:val="21"/>
        </w:rPr>
      </w:pPr>
      <w:r>
        <w:rPr>
          <w:rFonts w:hint="default" w:ascii="仿宋_GB2312" w:hAnsi="Calibri" w:eastAsia="仿宋_GB2312" w:cs="仿宋_GB2312"/>
          <w:color w:val="000000"/>
          <w:sz w:val="32"/>
          <w:szCs w:val="32"/>
        </w:rPr>
        <w:t>我委积极贯彻实施《条例》、《办法》，严格按照市委、市政府信息公开工作相关文件精神，层层分解落实重点工作，加</w:t>
      </w:r>
    </w:p>
    <w:p>
      <w:pPr>
        <w:keepNext w:val="0"/>
        <w:keepLines w:val="0"/>
        <w:widowControl/>
        <w:numPr>
          <w:ilvl w:val="0"/>
          <w:numId w:val="1"/>
        </w:numPr>
        <w:suppressLineNumbers w:val="0"/>
        <w:spacing w:before="0" w:beforeAutospacing="0" w:after="0" w:afterAutospacing="0" w:line="200" w:lineRule="atLeast"/>
        <w:ind w:left="720" w:hanging="360"/>
        <w:rPr>
          <w:rFonts w:hint="default" w:ascii="Calibri" w:hAnsi="Calibri" w:cs="Calibri"/>
          <w:color w:val="000000"/>
          <w:sz w:val="21"/>
          <w:szCs w:val="21"/>
        </w:rPr>
      </w:pPr>
      <w:r>
        <w:rPr>
          <w:rFonts w:hint="eastAsia" w:ascii="黑体" w:hAnsi="宋体" w:eastAsia="黑体" w:cs="黑体"/>
          <w:color w:val="000000"/>
          <w:sz w:val="32"/>
          <w:szCs w:val="32"/>
        </w:rPr>
        <w:t> </w:t>
      </w:r>
    </w:p>
    <w:tbl>
      <w:tblPr>
        <w:tblW w:w="0" w:type="auto"/>
        <w:tblInd w:w="13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6158"/>
        <w:gridCol w:w="963"/>
        <w:gridCol w:w="106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00" w:hRule="atLeast"/>
        </w:trPr>
        <w:tc>
          <w:tcPr>
            <w:tcW w:w="7433"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Style w:val="9"/>
                <w:rFonts w:hint="eastAsia" w:ascii="宋体" w:hAnsi="宋体" w:eastAsia="宋体" w:cs="宋体"/>
                <w:sz w:val="20"/>
                <w:szCs w:val="20"/>
              </w:rPr>
              <w:t>统　计　指　标</w:t>
            </w:r>
          </w:p>
        </w:tc>
        <w:tc>
          <w:tcPr>
            <w:tcW w:w="1002" w:type="dxa"/>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Style w:val="9"/>
                <w:rFonts w:hint="eastAsia" w:ascii="宋体" w:hAnsi="宋体" w:eastAsia="宋体" w:cs="宋体"/>
                <w:sz w:val="20"/>
                <w:szCs w:val="20"/>
              </w:rPr>
              <w:t>单位</w:t>
            </w:r>
          </w:p>
        </w:tc>
        <w:tc>
          <w:tcPr>
            <w:tcW w:w="1015" w:type="dxa"/>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Style w:val="9"/>
                <w:rFonts w:hint="eastAsia" w:ascii="宋体" w:hAnsi="宋体" w:eastAsia="宋体" w:cs="宋体"/>
                <w:sz w:val="20"/>
                <w:szCs w:val="20"/>
              </w:rPr>
              <w:t>统计数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trPr>
        <w:tc>
          <w:tcPr>
            <w:tcW w:w="7433"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pPr>
            <w:r>
              <w:rPr>
                <w:rStyle w:val="9"/>
                <w:rFonts w:hint="eastAsia" w:ascii="宋体" w:hAnsi="宋体" w:eastAsia="宋体" w:cs="宋体"/>
                <w:sz w:val="20"/>
                <w:szCs w:val="20"/>
              </w:rPr>
              <w:t>一、主动公开情况</w:t>
            </w:r>
          </w:p>
        </w:tc>
        <w:tc>
          <w:tcPr>
            <w:tcW w:w="1002"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 </w:t>
            </w:r>
          </w:p>
        </w:tc>
        <w:tc>
          <w:tcPr>
            <w:tcW w:w="10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right"/>
            </w:pPr>
            <w:r>
              <w:rPr>
                <w:rFonts w:hint="eastAsia" w:ascii="宋体" w:hAnsi="宋体" w:eastAsia="宋体" w:cs="宋体"/>
                <w:sz w:val="20"/>
                <w:szCs w:val="20"/>
              </w:rPr>
              <w:t>　</w:t>
            </w:r>
          </w:p>
          <w:p>
            <w:pPr>
              <w:pStyle w:val="6"/>
              <w:keepNext w:val="0"/>
              <w:keepLines w:val="0"/>
              <w:widowControl/>
              <w:suppressLineNumbers w:val="0"/>
              <w:spacing w:before="0" w:beforeAutospacing="0" w:after="0" w:afterAutospacing="0"/>
              <w:ind w:left="0" w:right="0"/>
              <w:jc w:val="right"/>
            </w:pPr>
            <w:r>
              <w:rPr>
                <w:rFonts w:hint="eastAsia" w:ascii="宋体" w:hAnsi="宋体" w:eastAsia="宋体" w:cs="宋体"/>
                <w:sz w:val="20"/>
                <w:szCs w:val="2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00" w:hRule="atLeast"/>
        </w:trPr>
        <w:tc>
          <w:tcPr>
            <w:tcW w:w="7433"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pPr>
            <w:r>
              <w:rPr>
                <w:rFonts w:hint="eastAsia" w:ascii="宋体" w:hAnsi="宋体" w:eastAsia="宋体" w:cs="宋体"/>
                <w:sz w:val="20"/>
                <w:szCs w:val="20"/>
              </w:rPr>
              <w:t>　　（一）主动公开政府信息数</w:t>
            </w:r>
          </w:p>
        </w:tc>
        <w:tc>
          <w:tcPr>
            <w:tcW w:w="1002"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条</w:t>
            </w:r>
          </w:p>
        </w:tc>
        <w:tc>
          <w:tcPr>
            <w:tcW w:w="10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788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trPr>
        <w:tc>
          <w:tcPr>
            <w:tcW w:w="7433"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pPr>
            <w:r>
              <w:rPr>
                <w:rFonts w:hint="eastAsia" w:ascii="宋体" w:hAnsi="宋体" w:eastAsia="宋体" w:cs="宋体"/>
                <w:sz w:val="20"/>
                <w:szCs w:val="20"/>
              </w:rPr>
              <w:t>　　　　　　其中：主动公开规范性文件数</w:t>
            </w:r>
          </w:p>
        </w:tc>
        <w:tc>
          <w:tcPr>
            <w:tcW w:w="1002"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条</w:t>
            </w:r>
          </w:p>
        </w:tc>
        <w:tc>
          <w:tcPr>
            <w:tcW w:w="10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00" w:hRule="atLeast"/>
        </w:trPr>
        <w:tc>
          <w:tcPr>
            <w:tcW w:w="7433"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pPr>
            <w:r>
              <w:rPr>
                <w:rFonts w:hint="eastAsia" w:ascii="宋体" w:hAnsi="宋体" w:eastAsia="宋体" w:cs="宋体"/>
                <w:sz w:val="20"/>
                <w:szCs w:val="20"/>
              </w:rPr>
              <w:t>　　　　　　　　　制发规范性文件总数</w:t>
            </w:r>
          </w:p>
        </w:tc>
        <w:tc>
          <w:tcPr>
            <w:tcW w:w="1002"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件</w:t>
            </w:r>
          </w:p>
        </w:tc>
        <w:tc>
          <w:tcPr>
            <w:tcW w:w="10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00" w:hRule="atLeast"/>
        </w:trPr>
        <w:tc>
          <w:tcPr>
            <w:tcW w:w="7433"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pPr>
            <w:r>
              <w:rPr>
                <w:rFonts w:hint="eastAsia" w:ascii="宋体" w:hAnsi="宋体" w:eastAsia="宋体" w:cs="宋体"/>
                <w:sz w:val="20"/>
                <w:szCs w:val="20"/>
              </w:rPr>
              <w:t>　　（二）通过不同渠道和方式公开政府信息的情况</w:t>
            </w:r>
          </w:p>
        </w:tc>
        <w:tc>
          <w:tcPr>
            <w:tcW w:w="1002"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 </w:t>
            </w:r>
          </w:p>
        </w:tc>
        <w:tc>
          <w:tcPr>
            <w:tcW w:w="10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right"/>
            </w:pPr>
            <w:r>
              <w:rPr>
                <w:rFonts w:hint="eastAsia" w:ascii="宋体" w:hAnsi="宋体" w:eastAsia="宋体" w:cs="宋体"/>
                <w:sz w:val="20"/>
                <w:szCs w:val="2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trPr>
        <w:tc>
          <w:tcPr>
            <w:tcW w:w="7433"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pPr>
            <w:r>
              <w:rPr>
                <w:rFonts w:hint="eastAsia" w:ascii="宋体" w:hAnsi="宋体" w:eastAsia="宋体" w:cs="宋体"/>
                <w:sz w:val="20"/>
                <w:szCs w:val="20"/>
              </w:rPr>
              <w:t>　　　　　1.政府公报公开政府信息数</w:t>
            </w:r>
          </w:p>
        </w:tc>
        <w:tc>
          <w:tcPr>
            <w:tcW w:w="1002"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条</w:t>
            </w:r>
          </w:p>
        </w:tc>
        <w:tc>
          <w:tcPr>
            <w:tcW w:w="10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00" w:hRule="atLeast"/>
        </w:trPr>
        <w:tc>
          <w:tcPr>
            <w:tcW w:w="7433"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pPr>
            <w:r>
              <w:rPr>
                <w:rFonts w:hint="eastAsia" w:ascii="宋体" w:hAnsi="宋体" w:eastAsia="宋体" w:cs="宋体"/>
                <w:sz w:val="20"/>
                <w:szCs w:val="20"/>
              </w:rPr>
              <w:t>　　　　　2.政府网站公开政府信息数</w:t>
            </w:r>
          </w:p>
        </w:tc>
        <w:tc>
          <w:tcPr>
            <w:tcW w:w="1002"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条</w:t>
            </w:r>
          </w:p>
        </w:tc>
        <w:tc>
          <w:tcPr>
            <w:tcW w:w="10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801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00" w:hRule="atLeast"/>
        </w:trPr>
        <w:tc>
          <w:tcPr>
            <w:tcW w:w="7433"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pPr>
            <w:r>
              <w:rPr>
                <w:rFonts w:hint="eastAsia" w:ascii="宋体" w:hAnsi="宋体" w:eastAsia="宋体" w:cs="宋体"/>
                <w:sz w:val="20"/>
                <w:szCs w:val="20"/>
              </w:rPr>
              <w:t>　　　　　3.政务微博公开政府信息数</w:t>
            </w:r>
          </w:p>
        </w:tc>
        <w:tc>
          <w:tcPr>
            <w:tcW w:w="1002"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条</w:t>
            </w:r>
          </w:p>
        </w:tc>
        <w:tc>
          <w:tcPr>
            <w:tcW w:w="10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1265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trPr>
        <w:tc>
          <w:tcPr>
            <w:tcW w:w="7433"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pPr>
            <w:r>
              <w:rPr>
                <w:rFonts w:hint="eastAsia" w:ascii="宋体" w:hAnsi="宋体" w:eastAsia="宋体" w:cs="宋体"/>
                <w:sz w:val="20"/>
                <w:szCs w:val="20"/>
              </w:rPr>
              <w:t>　　　　　4.政务微信公开政府信息数</w:t>
            </w:r>
          </w:p>
        </w:tc>
        <w:tc>
          <w:tcPr>
            <w:tcW w:w="1002"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条</w:t>
            </w:r>
          </w:p>
        </w:tc>
        <w:tc>
          <w:tcPr>
            <w:tcW w:w="10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1190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00" w:hRule="atLeast"/>
        </w:trPr>
        <w:tc>
          <w:tcPr>
            <w:tcW w:w="7433"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pPr>
            <w:r>
              <w:rPr>
                <w:rFonts w:hint="eastAsia" w:ascii="宋体" w:hAnsi="宋体" w:eastAsia="宋体" w:cs="宋体"/>
                <w:sz w:val="20"/>
                <w:szCs w:val="20"/>
              </w:rPr>
              <w:t>　　　　　5.其他方式公开政府信息数</w:t>
            </w:r>
          </w:p>
        </w:tc>
        <w:tc>
          <w:tcPr>
            <w:tcW w:w="1002"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条</w:t>
            </w:r>
          </w:p>
        </w:tc>
        <w:tc>
          <w:tcPr>
            <w:tcW w:w="10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00" w:hRule="atLeast"/>
        </w:trPr>
        <w:tc>
          <w:tcPr>
            <w:tcW w:w="7433"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pPr>
            <w:r>
              <w:rPr>
                <w:rStyle w:val="9"/>
                <w:rFonts w:hint="eastAsia" w:ascii="宋体" w:hAnsi="宋体" w:eastAsia="宋体" w:cs="宋体"/>
                <w:sz w:val="20"/>
                <w:szCs w:val="20"/>
              </w:rPr>
              <w:t>二、回应解读情况</w:t>
            </w:r>
          </w:p>
        </w:tc>
        <w:tc>
          <w:tcPr>
            <w:tcW w:w="1002"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 </w:t>
            </w:r>
          </w:p>
        </w:tc>
        <w:tc>
          <w:tcPr>
            <w:tcW w:w="10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trPr>
        <w:tc>
          <w:tcPr>
            <w:tcW w:w="7433"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firstLine="400"/>
            </w:pPr>
            <w:r>
              <w:rPr>
                <w:rFonts w:hint="eastAsia" w:ascii="宋体" w:hAnsi="宋体" w:eastAsia="宋体" w:cs="宋体"/>
                <w:sz w:val="20"/>
                <w:szCs w:val="20"/>
              </w:rPr>
              <w:t>（一）回应公众关注热点或重大舆情数</w:t>
            </w:r>
          </w:p>
        </w:tc>
        <w:tc>
          <w:tcPr>
            <w:tcW w:w="1002"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次</w:t>
            </w:r>
          </w:p>
        </w:tc>
        <w:tc>
          <w:tcPr>
            <w:tcW w:w="10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trPr>
        <w:tc>
          <w:tcPr>
            <w:tcW w:w="7433"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pPr>
            <w:r>
              <w:rPr>
                <w:rFonts w:hint="eastAsia" w:ascii="宋体" w:hAnsi="宋体" w:eastAsia="宋体" w:cs="宋体"/>
                <w:sz w:val="20"/>
                <w:szCs w:val="20"/>
              </w:rPr>
              <w:t>　　（二）通过不同渠道和方式回应解读的情况</w:t>
            </w:r>
          </w:p>
        </w:tc>
        <w:tc>
          <w:tcPr>
            <w:tcW w:w="1002"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 </w:t>
            </w:r>
          </w:p>
        </w:tc>
        <w:tc>
          <w:tcPr>
            <w:tcW w:w="10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00" w:hRule="atLeast"/>
        </w:trPr>
        <w:tc>
          <w:tcPr>
            <w:tcW w:w="7433"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pPr>
            <w:r>
              <w:rPr>
                <w:rFonts w:hint="eastAsia" w:ascii="宋体" w:hAnsi="宋体" w:eastAsia="宋体" w:cs="宋体"/>
                <w:sz w:val="20"/>
                <w:szCs w:val="20"/>
              </w:rPr>
              <w:t>　　　　　1.参加或举办新闻发布会总次数</w:t>
            </w:r>
          </w:p>
        </w:tc>
        <w:tc>
          <w:tcPr>
            <w:tcW w:w="1002"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次</w:t>
            </w:r>
          </w:p>
        </w:tc>
        <w:tc>
          <w:tcPr>
            <w:tcW w:w="10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trPr>
        <w:tc>
          <w:tcPr>
            <w:tcW w:w="7433"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pPr>
            <w:r>
              <w:rPr>
                <w:rFonts w:hint="eastAsia" w:ascii="宋体" w:hAnsi="宋体" w:eastAsia="宋体" w:cs="宋体"/>
                <w:sz w:val="20"/>
                <w:szCs w:val="20"/>
              </w:rPr>
              <w:t>　　　　　　 其中：主要负责同志参加新闻发布会次数</w:t>
            </w:r>
          </w:p>
        </w:tc>
        <w:tc>
          <w:tcPr>
            <w:tcW w:w="1002"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次</w:t>
            </w:r>
          </w:p>
        </w:tc>
        <w:tc>
          <w:tcPr>
            <w:tcW w:w="10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trPr>
        <w:tc>
          <w:tcPr>
            <w:tcW w:w="7433"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pPr>
            <w:r>
              <w:rPr>
                <w:rFonts w:hint="eastAsia" w:ascii="宋体" w:hAnsi="宋体" w:eastAsia="宋体" w:cs="宋体"/>
                <w:sz w:val="20"/>
                <w:szCs w:val="20"/>
              </w:rPr>
              <w:t>　　　　　2.政府网站在线访谈次数</w:t>
            </w:r>
          </w:p>
        </w:tc>
        <w:tc>
          <w:tcPr>
            <w:tcW w:w="1002"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次</w:t>
            </w:r>
          </w:p>
        </w:tc>
        <w:tc>
          <w:tcPr>
            <w:tcW w:w="10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00" w:hRule="atLeast"/>
        </w:trPr>
        <w:tc>
          <w:tcPr>
            <w:tcW w:w="7433"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pPr>
            <w:r>
              <w:rPr>
                <w:rFonts w:hint="eastAsia" w:ascii="宋体" w:hAnsi="宋体" w:eastAsia="宋体" w:cs="宋体"/>
                <w:sz w:val="20"/>
                <w:szCs w:val="20"/>
              </w:rPr>
              <w:t>　　　　　　 其中：主要负责同志参加政府网站在线访谈次数</w:t>
            </w:r>
          </w:p>
        </w:tc>
        <w:tc>
          <w:tcPr>
            <w:tcW w:w="1002"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次</w:t>
            </w:r>
          </w:p>
        </w:tc>
        <w:tc>
          <w:tcPr>
            <w:tcW w:w="10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00" w:hRule="atLeast"/>
        </w:trPr>
        <w:tc>
          <w:tcPr>
            <w:tcW w:w="7433"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pPr>
            <w:r>
              <w:rPr>
                <w:rFonts w:hint="eastAsia" w:ascii="宋体" w:hAnsi="宋体" w:eastAsia="宋体" w:cs="宋体"/>
                <w:sz w:val="20"/>
                <w:szCs w:val="20"/>
              </w:rPr>
              <w:t>　　　　　3.政策解读稿件发布数</w:t>
            </w:r>
          </w:p>
        </w:tc>
        <w:tc>
          <w:tcPr>
            <w:tcW w:w="1002"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篇</w:t>
            </w:r>
          </w:p>
        </w:tc>
        <w:tc>
          <w:tcPr>
            <w:tcW w:w="10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trPr>
        <w:tc>
          <w:tcPr>
            <w:tcW w:w="7433"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pPr>
            <w:r>
              <w:rPr>
                <w:rFonts w:hint="eastAsia" w:ascii="宋体" w:hAnsi="宋体" w:eastAsia="宋体" w:cs="宋体"/>
                <w:sz w:val="20"/>
                <w:szCs w:val="20"/>
              </w:rPr>
              <w:t>　　　　　4.微博微信回应事件数</w:t>
            </w:r>
          </w:p>
        </w:tc>
        <w:tc>
          <w:tcPr>
            <w:tcW w:w="1002"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次</w:t>
            </w:r>
          </w:p>
        </w:tc>
        <w:tc>
          <w:tcPr>
            <w:tcW w:w="10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trPr>
        <w:tc>
          <w:tcPr>
            <w:tcW w:w="7433"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pPr>
            <w:r>
              <w:rPr>
                <w:rFonts w:hint="eastAsia" w:ascii="宋体" w:hAnsi="宋体" w:eastAsia="宋体" w:cs="宋体"/>
                <w:sz w:val="20"/>
                <w:szCs w:val="20"/>
              </w:rPr>
              <w:t>　　　　　5.其他方式回应事件数</w:t>
            </w:r>
          </w:p>
        </w:tc>
        <w:tc>
          <w:tcPr>
            <w:tcW w:w="1002"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次</w:t>
            </w:r>
          </w:p>
        </w:tc>
        <w:tc>
          <w:tcPr>
            <w:tcW w:w="10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74" w:hRule="atLeast"/>
        </w:trPr>
        <w:tc>
          <w:tcPr>
            <w:tcW w:w="7433"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pPr>
            <w:r>
              <w:rPr>
                <w:rStyle w:val="9"/>
                <w:rFonts w:hint="eastAsia" w:ascii="宋体" w:hAnsi="宋体" w:eastAsia="宋体" w:cs="宋体"/>
                <w:sz w:val="20"/>
                <w:szCs w:val="20"/>
              </w:rPr>
              <w:t>三、依申请公开情况</w:t>
            </w:r>
          </w:p>
        </w:tc>
        <w:tc>
          <w:tcPr>
            <w:tcW w:w="1002"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 </w:t>
            </w:r>
          </w:p>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 </w:t>
            </w:r>
          </w:p>
        </w:tc>
        <w:tc>
          <w:tcPr>
            <w:tcW w:w="10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00" w:hRule="atLeast"/>
        </w:trPr>
        <w:tc>
          <w:tcPr>
            <w:tcW w:w="7433"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pPr>
            <w:r>
              <w:rPr>
                <w:rFonts w:hint="eastAsia" w:ascii="宋体" w:hAnsi="宋体" w:eastAsia="宋体" w:cs="宋体"/>
                <w:sz w:val="20"/>
                <w:szCs w:val="20"/>
              </w:rPr>
              <w:t>　　（一）收到申请数</w:t>
            </w:r>
          </w:p>
        </w:tc>
        <w:tc>
          <w:tcPr>
            <w:tcW w:w="1002"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件</w:t>
            </w:r>
          </w:p>
        </w:tc>
        <w:tc>
          <w:tcPr>
            <w:tcW w:w="10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00" w:hRule="atLeast"/>
        </w:trPr>
        <w:tc>
          <w:tcPr>
            <w:tcW w:w="7433"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pPr>
            <w:r>
              <w:rPr>
                <w:rFonts w:hint="eastAsia" w:ascii="宋体" w:hAnsi="宋体" w:eastAsia="宋体" w:cs="宋体"/>
                <w:sz w:val="20"/>
                <w:szCs w:val="20"/>
              </w:rPr>
              <w:t>　　　　　1.当面申请数</w:t>
            </w:r>
          </w:p>
        </w:tc>
        <w:tc>
          <w:tcPr>
            <w:tcW w:w="1002"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件</w:t>
            </w:r>
          </w:p>
        </w:tc>
        <w:tc>
          <w:tcPr>
            <w:tcW w:w="10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trPr>
        <w:tc>
          <w:tcPr>
            <w:tcW w:w="7433"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pPr>
            <w:r>
              <w:rPr>
                <w:rFonts w:hint="eastAsia" w:ascii="宋体" w:hAnsi="宋体" w:eastAsia="宋体" w:cs="宋体"/>
                <w:sz w:val="20"/>
                <w:szCs w:val="20"/>
              </w:rPr>
              <w:t>　　　　　2.传真申请数</w:t>
            </w:r>
          </w:p>
        </w:tc>
        <w:tc>
          <w:tcPr>
            <w:tcW w:w="1002"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件</w:t>
            </w:r>
          </w:p>
        </w:tc>
        <w:tc>
          <w:tcPr>
            <w:tcW w:w="10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00" w:hRule="atLeast"/>
        </w:trPr>
        <w:tc>
          <w:tcPr>
            <w:tcW w:w="7433"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pPr>
            <w:r>
              <w:rPr>
                <w:rFonts w:hint="eastAsia" w:ascii="宋体" w:hAnsi="宋体" w:eastAsia="宋体" w:cs="宋体"/>
                <w:sz w:val="20"/>
                <w:szCs w:val="20"/>
              </w:rPr>
              <w:t>　　　　　3.网络申请数</w:t>
            </w:r>
          </w:p>
        </w:tc>
        <w:tc>
          <w:tcPr>
            <w:tcW w:w="1002"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件</w:t>
            </w:r>
          </w:p>
        </w:tc>
        <w:tc>
          <w:tcPr>
            <w:tcW w:w="10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00" w:hRule="atLeast"/>
        </w:trPr>
        <w:tc>
          <w:tcPr>
            <w:tcW w:w="7433"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pPr>
            <w:r>
              <w:rPr>
                <w:rFonts w:hint="eastAsia" w:ascii="宋体" w:hAnsi="宋体" w:eastAsia="宋体" w:cs="宋体"/>
                <w:sz w:val="20"/>
                <w:szCs w:val="20"/>
              </w:rPr>
              <w:t>　　　　　4.信函申请数</w:t>
            </w:r>
          </w:p>
        </w:tc>
        <w:tc>
          <w:tcPr>
            <w:tcW w:w="1002"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件</w:t>
            </w:r>
          </w:p>
        </w:tc>
        <w:tc>
          <w:tcPr>
            <w:tcW w:w="10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trPr>
        <w:tc>
          <w:tcPr>
            <w:tcW w:w="7433"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pPr>
            <w:r>
              <w:rPr>
                <w:rFonts w:hint="eastAsia" w:ascii="宋体" w:hAnsi="宋体" w:eastAsia="宋体" w:cs="宋体"/>
                <w:sz w:val="20"/>
                <w:szCs w:val="20"/>
              </w:rPr>
              <w:t>          5.其他形式</w:t>
            </w:r>
          </w:p>
        </w:tc>
        <w:tc>
          <w:tcPr>
            <w:tcW w:w="1002"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件</w:t>
            </w:r>
          </w:p>
        </w:tc>
        <w:tc>
          <w:tcPr>
            <w:tcW w:w="10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00" w:hRule="atLeast"/>
        </w:trPr>
        <w:tc>
          <w:tcPr>
            <w:tcW w:w="7433"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pPr>
            <w:r>
              <w:rPr>
                <w:rFonts w:hint="eastAsia" w:ascii="宋体" w:hAnsi="宋体" w:eastAsia="宋体" w:cs="宋体"/>
                <w:sz w:val="20"/>
                <w:szCs w:val="20"/>
              </w:rPr>
              <w:t>　　（二）申请办结数</w:t>
            </w:r>
          </w:p>
        </w:tc>
        <w:tc>
          <w:tcPr>
            <w:tcW w:w="1002"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件</w:t>
            </w:r>
          </w:p>
        </w:tc>
        <w:tc>
          <w:tcPr>
            <w:tcW w:w="10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98" w:hRule="atLeast"/>
        </w:trPr>
        <w:tc>
          <w:tcPr>
            <w:tcW w:w="7433"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pPr>
            <w:r>
              <w:rPr>
                <w:rFonts w:hint="eastAsia" w:ascii="宋体" w:hAnsi="宋体" w:eastAsia="宋体" w:cs="宋体"/>
                <w:sz w:val="20"/>
                <w:szCs w:val="20"/>
              </w:rPr>
              <w:t>　　　　　1.按时办结数</w:t>
            </w:r>
          </w:p>
        </w:tc>
        <w:tc>
          <w:tcPr>
            <w:tcW w:w="1002"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件</w:t>
            </w:r>
          </w:p>
        </w:tc>
        <w:tc>
          <w:tcPr>
            <w:tcW w:w="10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trPr>
        <w:tc>
          <w:tcPr>
            <w:tcW w:w="7433"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pPr>
            <w:r>
              <w:rPr>
                <w:rFonts w:hint="eastAsia" w:ascii="宋体" w:hAnsi="宋体" w:eastAsia="宋体" w:cs="宋体"/>
                <w:sz w:val="20"/>
                <w:szCs w:val="20"/>
              </w:rPr>
              <w:t>　　　　　2.延期办结数</w:t>
            </w:r>
          </w:p>
        </w:tc>
        <w:tc>
          <w:tcPr>
            <w:tcW w:w="1002"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件</w:t>
            </w:r>
          </w:p>
        </w:tc>
        <w:tc>
          <w:tcPr>
            <w:tcW w:w="10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00" w:hRule="atLeast"/>
        </w:trPr>
        <w:tc>
          <w:tcPr>
            <w:tcW w:w="7433"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pPr>
            <w:r>
              <w:rPr>
                <w:rFonts w:hint="eastAsia" w:ascii="宋体" w:hAnsi="宋体" w:eastAsia="宋体" w:cs="宋体"/>
                <w:sz w:val="20"/>
                <w:szCs w:val="20"/>
              </w:rPr>
              <w:t>　　（三）申请答复数</w:t>
            </w:r>
          </w:p>
        </w:tc>
        <w:tc>
          <w:tcPr>
            <w:tcW w:w="1002"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件</w:t>
            </w:r>
          </w:p>
        </w:tc>
        <w:tc>
          <w:tcPr>
            <w:tcW w:w="10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trPr>
        <w:tc>
          <w:tcPr>
            <w:tcW w:w="7433"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pPr>
            <w:r>
              <w:rPr>
                <w:rFonts w:hint="eastAsia" w:ascii="宋体" w:hAnsi="宋体" w:eastAsia="宋体" w:cs="宋体"/>
                <w:sz w:val="20"/>
                <w:szCs w:val="20"/>
              </w:rPr>
              <w:t>　　　　　1.属于已主动公开范围数</w:t>
            </w:r>
          </w:p>
        </w:tc>
        <w:tc>
          <w:tcPr>
            <w:tcW w:w="1002"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件</w:t>
            </w:r>
          </w:p>
        </w:tc>
        <w:tc>
          <w:tcPr>
            <w:tcW w:w="10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trPr>
        <w:tc>
          <w:tcPr>
            <w:tcW w:w="7433"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pPr>
            <w:r>
              <w:rPr>
                <w:rFonts w:hint="eastAsia" w:ascii="宋体" w:hAnsi="宋体" w:eastAsia="宋体" w:cs="宋体"/>
                <w:sz w:val="20"/>
                <w:szCs w:val="20"/>
              </w:rPr>
              <w:t>　　　　　2.同意公开答复数</w:t>
            </w:r>
          </w:p>
        </w:tc>
        <w:tc>
          <w:tcPr>
            <w:tcW w:w="1002"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件</w:t>
            </w:r>
          </w:p>
        </w:tc>
        <w:tc>
          <w:tcPr>
            <w:tcW w:w="10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trPr>
        <w:tc>
          <w:tcPr>
            <w:tcW w:w="7433"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pPr>
            <w:r>
              <w:rPr>
                <w:rFonts w:hint="eastAsia" w:ascii="宋体" w:hAnsi="宋体" w:eastAsia="宋体" w:cs="宋体"/>
                <w:sz w:val="20"/>
                <w:szCs w:val="20"/>
              </w:rPr>
              <w:t>　　　　　3.同意部分公开答复数</w:t>
            </w:r>
          </w:p>
        </w:tc>
        <w:tc>
          <w:tcPr>
            <w:tcW w:w="1002"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件</w:t>
            </w:r>
          </w:p>
        </w:tc>
        <w:tc>
          <w:tcPr>
            <w:tcW w:w="10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trPr>
        <w:tc>
          <w:tcPr>
            <w:tcW w:w="7433"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pPr>
            <w:r>
              <w:rPr>
                <w:rFonts w:hint="eastAsia" w:ascii="宋体" w:hAnsi="宋体" w:eastAsia="宋体" w:cs="宋体"/>
                <w:sz w:val="20"/>
                <w:szCs w:val="20"/>
              </w:rPr>
              <w:t>　　　　　4.不同意公开答复数</w:t>
            </w:r>
          </w:p>
        </w:tc>
        <w:tc>
          <w:tcPr>
            <w:tcW w:w="1002"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件</w:t>
            </w:r>
          </w:p>
        </w:tc>
        <w:tc>
          <w:tcPr>
            <w:tcW w:w="10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00" w:hRule="atLeast"/>
        </w:trPr>
        <w:tc>
          <w:tcPr>
            <w:tcW w:w="7433"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pPr>
            <w:r>
              <w:rPr>
                <w:rFonts w:hint="eastAsia" w:ascii="宋体" w:hAnsi="宋体" w:eastAsia="宋体" w:cs="宋体"/>
                <w:sz w:val="20"/>
                <w:szCs w:val="20"/>
              </w:rPr>
              <w:t>　　　　　 　其中：涉及国家秘密</w:t>
            </w:r>
          </w:p>
        </w:tc>
        <w:tc>
          <w:tcPr>
            <w:tcW w:w="1002"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件</w:t>
            </w:r>
          </w:p>
        </w:tc>
        <w:tc>
          <w:tcPr>
            <w:tcW w:w="10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00" w:hRule="atLeast"/>
        </w:trPr>
        <w:tc>
          <w:tcPr>
            <w:tcW w:w="7433"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pPr>
            <w:r>
              <w:rPr>
                <w:rFonts w:hint="eastAsia" w:ascii="宋体" w:hAnsi="宋体" w:eastAsia="宋体" w:cs="宋体"/>
                <w:sz w:val="20"/>
                <w:szCs w:val="20"/>
              </w:rPr>
              <w:t>　　　　　　　　　 涉及商业秘密</w:t>
            </w:r>
          </w:p>
        </w:tc>
        <w:tc>
          <w:tcPr>
            <w:tcW w:w="1002"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件</w:t>
            </w:r>
          </w:p>
        </w:tc>
        <w:tc>
          <w:tcPr>
            <w:tcW w:w="10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trPr>
        <w:tc>
          <w:tcPr>
            <w:tcW w:w="7433"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pPr>
            <w:r>
              <w:rPr>
                <w:rFonts w:hint="eastAsia" w:ascii="宋体" w:hAnsi="宋体" w:eastAsia="宋体" w:cs="宋体"/>
                <w:sz w:val="20"/>
                <w:szCs w:val="20"/>
              </w:rPr>
              <w:t>　　　　　　　　　 涉及个人隐私</w:t>
            </w:r>
          </w:p>
        </w:tc>
        <w:tc>
          <w:tcPr>
            <w:tcW w:w="1002"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件</w:t>
            </w:r>
          </w:p>
        </w:tc>
        <w:tc>
          <w:tcPr>
            <w:tcW w:w="10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00" w:hRule="atLeast"/>
        </w:trPr>
        <w:tc>
          <w:tcPr>
            <w:tcW w:w="7433"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pPr>
            <w:r>
              <w:rPr>
                <w:rFonts w:hint="eastAsia" w:ascii="宋体" w:hAnsi="宋体" w:eastAsia="宋体" w:cs="宋体"/>
                <w:sz w:val="20"/>
                <w:szCs w:val="20"/>
              </w:rPr>
              <w:t>　　　　　　　　　 危及国家安全、公共安全、经济安全和社会稳定</w:t>
            </w:r>
          </w:p>
        </w:tc>
        <w:tc>
          <w:tcPr>
            <w:tcW w:w="1002"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件</w:t>
            </w:r>
          </w:p>
        </w:tc>
        <w:tc>
          <w:tcPr>
            <w:tcW w:w="10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00" w:hRule="atLeast"/>
        </w:trPr>
        <w:tc>
          <w:tcPr>
            <w:tcW w:w="7433"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pPr>
            <w:r>
              <w:rPr>
                <w:rFonts w:hint="eastAsia" w:ascii="宋体" w:hAnsi="宋体" w:eastAsia="宋体" w:cs="宋体"/>
                <w:sz w:val="20"/>
                <w:szCs w:val="20"/>
              </w:rPr>
              <w:t>　　　　　　　　　 不是《条例》所指政府信息</w:t>
            </w:r>
          </w:p>
        </w:tc>
        <w:tc>
          <w:tcPr>
            <w:tcW w:w="1002"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件</w:t>
            </w:r>
          </w:p>
        </w:tc>
        <w:tc>
          <w:tcPr>
            <w:tcW w:w="10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trPr>
        <w:tc>
          <w:tcPr>
            <w:tcW w:w="7433"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pPr>
            <w:r>
              <w:rPr>
                <w:rFonts w:hint="eastAsia" w:ascii="宋体" w:hAnsi="宋体" w:eastAsia="宋体" w:cs="宋体"/>
                <w:sz w:val="20"/>
                <w:szCs w:val="20"/>
              </w:rPr>
              <w:t>　　　　　　　　　 法律法规规定的其他情形</w:t>
            </w:r>
          </w:p>
        </w:tc>
        <w:tc>
          <w:tcPr>
            <w:tcW w:w="1002"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件</w:t>
            </w:r>
          </w:p>
        </w:tc>
        <w:tc>
          <w:tcPr>
            <w:tcW w:w="10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trPr>
        <w:tc>
          <w:tcPr>
            <w:tcW w:w="7433"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pPr>
            <w:r>
              <w:rPr>
                <w:rFonts w:hint="eastAsia" w:ascii="宋体" w:hAnsi="宋体" w:eastAsia="宋体" w:cs="宋体"/>
                <w:sz w:val="20"/>
                <w:szCs w:val="20"/>
              </w:rPr>
              <w:t>　　　　　5.不属于本行政机关公开数</w:t>
            </w:r>
          </w:p>
        </w:tc>
        <w:tc>
          <w:tcPr>
            <w:tcW w:w="1002"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件</w:t>
            </w:r>
          </w:p>
        </w:tc>
        <w:tc>
          <w:tcPr>
            <w:tcW w:w="10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trPr>
        <w:tc>
          <w:tcPr>
            <w:tcW w:w="7433"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pPr>
            <w:r>
              <w:rPr>
                <w:rFonts w:hint="eastAsia" w:ascii="宋体" w:hAnsi="宋体" w:eastAsia="宋体" w:cs="宋体"/>
                <w:sz w:val="20"/>
                <w:szCs w:val="20"/>
              </w:rPr>
              <w:t>　　　　　6.申请信息不存在数</w:t>
            </w:r>
          </w:p>
        </w:tc>
        <w:tc>
          <w:tcPr>
            <w:tcW w:w="1002"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件</w:t>
            </w:r>
          </w:p>
        </w:tc>
        <w:tc>
          <w:tcPr>
            <w:tcW w:w="10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00" w:hRule="atLeast"/>
        </w:trPr>
        <w:tc>
          <w:tcPr>
            <w:tcW w:w="7433"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pPr>
            <w:r>
              <w:rPr>
                <w:rFonts w:hint="eastAsia" w:ascii="宋体" w:hAnsi="宋体" w:eastAsia="宋体" w:cs="宋体"/>
                <w:sz w:val="20"/>
                <w:szCs w:val="20"/>
              </w:rPr>
              <w:t>　　　　　7.告知作出更改补充数</w:t>
            </w:r>
          </w:p>
        </w:tc>
        <w:tc>
          <w:tcPr>
            <w:tcW w:w="1002"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件</w:t>
            </w:r>
          </w:p>
        </w:tc>
        <w:tc>
          <w:tcPr>
            <w:tcW w:w="10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trPr>
        <w:tc>
          <w:tcPr>
            <w:tcW w:w="7433"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pPr>
            <w:r>
              <w:rPr>
                <w:rFonts w:hint="eastAsia" w:ascii="宋体" w:hAnsi="宋体" w:eastAsia="宋体" w:cs="宋体"/>
                <w:sz w:val="20"/>
                <w:szCs w:val="20"/>
              </w:rPr>
              <w:t>　　　　　8.告知通过其他途径办理数</w:t>
            </w:r>
          </w:p>
        </w:tc>
        <w:tc>
          <w:tcPr>
            <w:tcW w:w="1002"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件</w:t>
            </w:r>
          </w:p>
        </w:tc>
        <w:tc>
          <w:tcPr>
            <w:tcW w:w="10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00" w:hRule="atLeast"/>
        </w:trPr>
        <w:tc>
          <w:tcPr>
            <w:tcW w:w="7433"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pPr>
            <w:r>
              <w:rPr>
                <w:rStyle w:val="9"/>
                <w:rFonts w:hint="eastAsia" w:ascii="宋体" w:hAnsi="宋体" w:eastAsia="宋体" w:cs="宋体"/>
                <w:sz w:val="20"/>
                <w:szCs w:val="20"/>
              </w:rPr>
              <w:t>四、行政复议数量</w:t>
            </w:r>
          </w:p>
        </w:tc>
        <w:tc>
          <w:tcPr>
            <w:tcW w:w="1002"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件</w:t>
            </w:r>
          </w:p>
        </w:tc>
        <w:tc>
          <w:tcPr>
            <w:tcW w:w="10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trPr>
        <w:tc>
          <w:tcPr>
            <w:tcW w:w="7433"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pPr>
            <w:r>
              <w:rPr>
                <w:rFonts w:hint="eastAsia" w:ascii="宋体" w:hAnsi="宋体" w:eastAsia="宋体" w:cs="宋体"/>
                <w:sz w:val="20"/>
                <w:szCs w:val="20"/>
              </w:rPr>
              <w:t>　　（一）维持具体行政行为数</w:t>
            </w:r>
          </w:p>
        </w:tc>
        <w:tc>
          <w:tcPr>
            <w:tcW w:w="1002"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件</w:t>
            </w:r>
          </w:p>
        </w:tc>
        <w:tc>
          <w:tcPr>
            <w:tcW w:w="10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trPr>
        <w:tc>
          <w:tcPr>
            <w:tcW w:w="7433"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pPr>
            <w:r>
              <w:rPr>
                <w:rFonts w:hint="eastAsia" w:ascii="宋体" w:hAnsi="宋体" w:eastAsia="宋体" w:cs="宋体"/>
                <w:sz w:val="20"/>
                <w:szCs w:val="20"/>
              </w:rPr>
              <w:t>　　（二）被依法纠错数</w:t>
            </w:r>
          </w:p>
        </w:tc>
        <w:tc>
          <w:tcPr>
            <w:tcW w:w="1002"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件</w:t>
            </w:r>
          </w:p>
        </w:tc>
        <w:tc>
          <w:tcPr>
            <w:tcW w:w="10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trPr>
        <w:tc>
          <w:tcPr>
            <w:tcW w:w="7433"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pPr>
            <w:r>
              <w:rPr>
                <w:rFonts w:hint="eastAsia" w:ascii="宋体" w:hAnsi="宋体" w:eastAsia="宋体" w:cs="宋体"/>
                <w:sz w:val="20"/>
                <w:szCs w:val="20"/>
              </w:rPr>
              <w:t>　　（三）其他情形数</w:t>
            </w:r>
          </w:p>
        </w:tc>
        <w:tc>
          <w:tcPr>
            <w:tcW w:w="1002"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件</w:t>
            </w:r>
          </w:p>
        </w:tc>
        <w:tc>
          <w:tcPr>
            <w:tcW w:w="10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00" w:hRule="atLeast"/>
        </w:trPr>
        <w:tc>
          <w:tcPr>
            <w:tcW w:w="7433"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pPr>
            <w:r>
              <w:rPr>
                <w:rStyle w:val="9"/>
                <w:rFonts w:hint="eastAsia" w:ascii="宋体" w:hAnsi="宋体" w:eastAsia="宋体" w:cs="宋体"/>
                <w:sz w:val="20"/>
                <w:szCs w:val="20"/>
              </w:rPr>
              <w:t>五、行政诉讼数量</w:t>
            </w:r>
          </w:p>
        </w:tc>
        <w:tc>
          <w:tcPr>
            <w:tcW w:w="1002"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件</w:t>
            </w:r>
          </w:p>
        </w:tc>
        <w:tc>
          <w:tcPr>
            <w:tcW w:w="10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trPr>
        <w:tc>
          <w:tcPr>
            <w:tcW w:w="7433"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pPr>
            <w:r>
              <w:rPr>
                <w:rFonts w:hint="eastAsia" w:ascii="宋体" w:hAnsi="宋体" w:eastAsia="宋体" w:cs="宋体"/>
                <w:sz w:val="20"/>
                <w:szCs w:val="20"/>
              </w:rPr>
              <w:t>　　（一）维持具体行政行为或者驳回原告诉讼请求数</w:t>
            </w:r>
          </w:p>
        </w:tc>
        <w:tc>
          <w:tcPr>
            <w:tcW w:w="1002"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件</w:t>
            </w:r>
          </w:p>
        </w:tc>
        <w:tc>
          <w:tcPr>
            <w:tcW w:w="10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trPr>
        <w:tc>
          <w:tcPr>
            <w:tcW w:w="7433"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pPr>
            <w:r>
              <w:rPr>
                <w:rFonts w:hint="eastAsia" w:ascii="宋体" w:hAnsi="宋体" w:eastAsia="宋体" w:cs="宋体"/>
                <w:sz w:val="20"/>
                <w:szCs w:val="20"/>
              </w:rPr>
              <w:t>　　（二）被依法纠错数</w:t>
            </w:r>
          </w:p>
        </w:tc>
        <w:tc>
          <w:tcPr>
            <w:tcW w:w="1002"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件</w:t>
            </w:r>
          </w:p>
        </w:tc>
        <w:tc>
          <w:tcPr>
            <w:tcW w:w="10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00" w:hRule="atLeast"/>
        </w:trPr>
        <w:tc>
          <w:tcPr>
            <w:tcW w:w="7433"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pPr>
            <w:r>
              <w:rPr>
                <w:rFonts w:hint="eastAsia" w:ascii="宋体" w:hAnsi="宋体" w:eastAsia="宋体" w:cs="宋体"/>
                <w:sz w:val="20"/>
                <w:szCs w:val="20"/>
              </w:rPr>
              <w:t>　　（三）其他情形数</w:t>
            </w:r>
          </w:p>
        </w:tc>
        <w:tc>
          <w:tcPr>
            <w:tcW w:w="1002"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件</w:t>
            </w:r>
          </w:p>
        </w:tc>
        <w:tc>
          <w:tcPr>
            <w:tcW w:w="10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trPr>
        <w:tc>
          <w:tcPr>
            <w:tcW w:w="7433"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pPr>
            <w:r>
              <w:rPr>
                <w:rStyle w:val="9"/>
                <w:rFonts w:hint="eastAsia" w:ascii="宋体" w:hAnsi="宋体" w:eastAsia="宋体" w:cs="宋体"/>
                <w:sz w:val="20"/>
                <w:szCs w:val="20"/>
              </w:rPr>
              <w:t>六、被举报投诉数量</w:t>
            </w:r>
          </w:p>
        </w:tc>
        <w:tc>
          <w:tcPr>
            <w:tcW w:w="1002"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件</w:t>
            </w:r>
          </w:p>
        </w:tc>
        <w:tc>
          <w:tcPr>
            <w:tcW w:w="10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00" w:hRule="atLeast"/>
        </w:trPr>
        <w:tc>
          <w:tcPr>
            <w:tcW w:w="7433"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pPr>
            <w:r>
              <w:rPr>
                <w:rFonts w:hint="eastAsia" w:ascii="宋体" w:hAnsi="宋体" w:eastAsia="宋体" w:cs="宋体"/>
                <w:sz w:val="20"/>
                <w:szCs w:val="20"/>
              </w:rPr>
              <w:t>　　（一）维持具体行政行为数</w:t>
            </w:r>
          </w:p>
        </w:tc>
        <w:tc>
          <w:tcPr>
            <w:tcW w:w="1002"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件</w:t>
            </w:r>
          </w:p>
        </w:tc>
        <w:tc>
          <w:tcPr>
            <w:tcW w:w="10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trPr>
        <w:tc>
          <w:tcPr>
            <w:tcW w:w="7433"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pPr>
            <w:r>
              <w:rPr>
                <w:rFonts w:hint="eastAsia" w:ascii="宋体" w:hAnsi="宋体" w:eastAsia="宋体" w:cs="宋体"/>
                <w:sz w:val="20"/>
                <w:szCs w:val="20"/>
              </w:rPr>
              <w:t>　　（二）被纠错数</w:t>
            </w:r>
          </w:p>
        </w:tc>
        <w:tc>
          <w:tcPr>
            <w:tcW w:w="1002"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件</w:t>
            </w:r>
          </w:p>
        </w:tc>
        <w:tc>
          <w:tcPr>
            <w:tcW w:w="10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trPr>
        <w:tc>
          <w:tcPr>
            <w:tcW w:w="7433"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pPr>
            <w:r>
              <w:rPr>
                <w:rFonts w:hint="eastAsia" w:ascii="宋体" w:hAnsi="宋体" w:eastAsia="宋体" w:cs="宋体"/>
                <w:sz w:val="20"/>
                <w:szCs w:val="20"/>
              </w:rPr>
              <w:t>　　（三）其他情形数</w:t>
            </w:r>
          </w:p>
        </w:tc>
        <w:tc>
          <w:tcPr>
            <w:tcW w:w="1002"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件</w:t>
            </w:r>
          </w:p>
        </w:tc>
        <w:tc>
          <w:tcPr>
            <w:tcW w:w="10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30" w:hRule="atLeast"/>
        </w:trPr>
        <w:tc>
          <w:tcPr>
            <w:tcW w:w="7433"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pPr>
            <w:r>
              <w:rPr>
                <w:rStyle w:val="9"/>
                <w:rFonts w:hint="eastAsia" w:ascii="宋体" w:hAnsi="宋体" w:eastAsia="宋体" w:cs="宋体"/>
                <w:sz w:val="20"/>
                <w:szCs w:val="20"/>
              </w:rPr>
              <w:t>七、向图书馆、档案馆等查阅场所报送信息数</w:t>
            </w:r>
          </w:p>
        </w:tc>
        <w:tc>
          <w:tcPr>
            <w:tcW w:w="1002"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条</w:t>
            </w:r>
          </w:p>
        </w:tc>
        <w:tc>
          <w:tcPr>
            <w:tcW w:w="10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00" w:hRule="atLeast"/>
        </w:trPr>
        <w:tc>
          <w:tcPr>
            <w:tcW w:w="7433"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pPr>
            <w:r>
              <w:rPr>
                <w:rFonts w:hint="eastAsia" w:ascii="宋体" w:hAnsi="宋体" w:eastAsia="宋体" w:cs="宋体"/>
                <w:sz w:val="20"/>
                <w:szCs w:val="20"/>
              </w:rPr>
              <w:t>　　（一）纸质文件数</w:t>
            </w:r>
          </w:p>
        </w:tc>
        <w:tc>
          <w:tcPr>
            <w:tcW w:w="1002"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条</w:t>
            </w:r>
          </w:p>
        </w:tc>
        <w:tc>
          <w:tcPr>
            <w:tcW w:w="10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00" w:hRule="atLeast"/>
        </w:trPr>
        <w:tc>
          <w:tcPr>
            <w:tcW w:w="7433"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pPr>
            <w:r>
              <w:rPr>
                <w:rFonts w:hint="eastAsia" w:ascii="宋体" w:hAnsi="宋体" w:eastAsia="宋体" w:cs="宋体"/>
                <w:sz w:val="20"/>
                <w:szCs w:val="20"/>
              </w:rPr>
              <w:t>　　（二）电子文件数</w:t>
            </w:r>
          </w:p>
        </w:tc>
        <w:tc>
          <w:tcPr>
            <w:tcW w:w="1002"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条</w:t>
            </w:r>
          </w:p>
        </w:tc>
        <w:tc>
          <w:tcPr>
            <w:tcW w:w="10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59" w:hRule="atLeast"/>
        </w:trPr>
        <w:tc>
          <w:tcPr>
            <w:tcW w:w="7433"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pPr>
            <w:r>
              <w:rPr>
                <w:rStyle w:val="9"/>
                <w:rFonts w:hint="eastAsia" w:ascii="宋体" w:hAnsi="宋体" w:eastAsia="宋体" w:cs="宋体"/>
                <w:sz w:val="20"/>
                <w:szCs w:val="20"/>
              </w:rPr>
              <w:t>八、机构建设和保障经费情况</w:t>
            </w:r>
          </w:p>
        </w:tc>
        <w:tc>
          <w:tcPr>
            <w:tcW w:w="1002"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 </w:t>
            </w:r>
          </w:p>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 </w:t>
            </w:r>
          </w:p>
        </w:tc>
        <w:tc>
          <w:tcPr>
            <w:tcW w:w="10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trPr>
        <w:tc>
          <w:tcPr>
            <w:tcW w:w="7433"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pPr>
            <w:r>
              <w:rPr>
                <w:rFonts w:hint="eastAsia" w:ascii="宋体" w:hAnsi="宋体" w:eastAsia="宋体" w:cs="宋体"/>
                <w:sz w:val="20"/>
                <w:szCs w:val="20"/>
              </w:rPr>
              <w:t>　　（一）政府信息公开工作机构数</w:t>
            </w:r>
          </w:p>
        </w:tc>
        <w:tc>
          <w:tcPr>
            <w:tcW w:w="1002"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个</w:t>
            </w:r>
          </w:p>
        </w:tc>
        <w:tc>
          <w:tcPr>
            <w:tcW w:w="10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00" w:hRule="atLeast"/>
        </w:trPr>
        <w:tc>
          <w:tcPr>
            <w:tcW w:w="7433"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firstLine="400"/>
            </w:pPr>
            <w:r>
              <w:rPr>
                <w:rFonts w:hint="eastAsia" w:ascii="宋体" w:hAnsi="宋体" w:eastAsia="宋体" w:cs="宋体"/>
                <w:sz w:val="20"/>
                <w:szCs w:val="20"/>
              </w:rPr>
              <w:t>（二）设置政府信息公开查阅点数</w:t>
            </w:r>
          </w:p>
        </w:tc>
        <w:tc>
          <w:tcPr>
            <w:tcW w:w="1002"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个</w:t>
            </w:r>
          </w:p>
        </w:tc>
        <w:tc>
          <w:tcPr>
            <w:tcW w:w="10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trPr>
        <w:tc>
          <w:tcPr>
            <w:tcW w:w="7433"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pPr>
            <w:r>
              <w:rPr>
                <w:rFonts w:hint="eastAsia" w:ascii="宋体" w:hAnsi="宋体" w:eastAsia="宋体" w:cs="宋体"/>
                <w:sz w:val="20"/>
                <w:szCs w:val="20"/>
              </w:rPr>
              <w:t>　　（三）从事政府信息公开工作人员数</w:t>
            </w:r>
          </w:p>
        </w:tc>
        <w:tc>
          <w:tcPr>
            <w:tcW w:w="1002"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人</w:t>
            </w:r>
          </w:p>
        </w:tc>
        <w:tc>
          <w:tcPr>
            <w:tcW w:w="10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trPr>
        <w:tc>
          <w:tcPr>
            <w:tcW w:w="7433"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pPr>
            <w:r>
              <w:rPr>
                <w:rFonts w:hint="eastAsia" w:ascii="宋体" w:hAnsi="宋体" w:eastAsia="宋体" w:cs="宋体"/>
                <w:sz w:val="20"/>
                <w:szCs w:val="20"/>
              </w:rPr>
              <w:t>　　　　　1.专职人员数（不包括政府网站工作人员数）</w:t>
            </w:r>
          </w:p>
        </w:tc>
        <w:tc>
          <w:tcPr>
            <w:tcW w:w="1002"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人</w:t>
            </w:r>
          </w:p>
        </w:tc>
        <w:tc>
          <w:tcPr>
            <w:tcW w:w="10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00" w:hRule="atLeast"/>
        </w:trPr>
        <w:tc>
          <w:tcPr>
            <w:tcW w:w="7433"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pPr>
            <w:r>
              <w:rPr>
                <w:rFonts w:hint="eastAsia" w:ascii="宋体" w:hAnsi="宋体" w:eastAsia="宋体" w:cs="宋体"/>
                <w:sz w:val="20"/>
                <w:szCs w:val="20"/>
              </w:rPr>
              <w:t>　　　　　2.兼职人员数</w:t>
            </w:r>
          </w:p>
        </w:tc>
        <w:tc>
          <w:tcPr>
            <w:tcW w:w="1002"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人</w:t>
            </w:r>
          </w:p>
        </w:tc>
        <w:tc>
          <w:tcPr>
            <w:tcW w:w="10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40" w:hRule="atLeast"/>
        </w:trPr>
        <w:tc>
          <w:tcPr>
            <w:tcW w:w="7433"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pPr>
            <w:r>
              <w:rPr>
                <w:rFonts w:hint="eastAsia" w:ascii="宋体" w:hAnsi="宋体" w:eastAsia="宋体" w:cs="宋体"/>
                <w:sz w:val="20"/>
                <w:szCs w:val="20"/>
              </w:rPr>
              <w:t>　　（四）政府信息公开专项经费（不包括用于政府网站建设维护等方面的经费）</w:t>
            </w:r>
          </w:p>
        </w:tc>
        <w:tc>
          <w:tcPr>
            <w:tcW w:w="1002"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万元</w:t>
            </w:r>
          </w:p>
        </w:tc>
        <w:tc>
          <w:tcPr>
            <w:tcW w:w="10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00" w:hRule="atLeast"/>
        </w:trPr>
        <w:tc>
          <w:tcPr>
            <w:tcW w:w="7433"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pPr>
            <w:r>
              <w:rPr>
                <w:rStyle w:val="9"/>
                <w:rFonts w:hint="eastAsia" w:ascii="宋体" w:hAnsi="宋体" w:eastAsia="宋体" w:cs="宋体"/>
                <w:sz w:val="20"/>
                <w:szCs w:val="20"/>
              </w:rPr>
              <w:t>九、政府信息公开会议和培训情况</w:t>
            </w:r>
          </w:p>
        </w:tc>
        <w:tc>
          <w:tcPr>
            <w:tcW w:w="1002"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 </w:t>
            </w:r>
          </w:p>
        </w:tc>
        <w:tc>
          <w:tcPr>
            <w:tcW w:w="10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trPr>
        <w:tc>
          <w:tcPr>
            <w:tcW w:w="7433"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pPr>
            <w:r>
              <w:rPr>
                <w:rFonts w:hint="eastAsia" w:ascii="宋体" w:hAnsi="宋体" w:eastAsia="宋体" w:cs="宋体"/>
                <w:sz w:val="20"/>
                <w:szCs w:val="20"/>
              </w:rPr>
              <w:t>　　（一）召开政府信息公开工作会议或专题会议数</w:t>
            </w:r>
          </w:p>
        </w:tc>
        <w:tc>
          <w:tcPr>
            <w:tcW w:w="1002"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次</w:t>
            </w:r>
          </w:p>
        </w:tc>
        <w:tc>
          <w:tcPr>
            <w:tcW w:w="10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00" w:hRule="atLeast"/>
        </w:trPr>
        <w:tc>
          <w:tcPr>
            <w:tcW w:w="7433"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pPr>
            <w:r>
              <w:rPr>
                <w:rFonts w:hint="eastAsia" w:ascii="宋体" w:hAnsi="宋体" w:eastAsia="宋体" w:cs="宋体"/>
                <w:sz w:val="20"/>
                <w:szCs w:val="20"/>
              </w:rPr>
              <w:t>　　（二）举办各类培训班数</w:t>
            </w:r>
          </w:p>
        </w:tc>
        <w:tc>
          <w:tcPr>
            <w:tcW w:w="1002"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次</w:t>
            </w:r>
          </w:p>
        </w:tc>
        <w:tc>
          <w:tcPr>
            <w:tcW w:w="10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0" w:hRule="atLeast"/>
        </w:trPr>
        <w:tc>
          <w:tcPr>
            <w:tcW w:w="7433"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pPr>
            <w:r>
              <w:rPr>
                <w:rFonts w:hint="eastAsia" w:ascii="宋体" w:hAnsi="宋体" w:eastAsia="宋体" w:cs="宋体"/>
                <w:sz w:val="20"/>
                <w:szCs w:val="20"/>
              </w:rPr>
              <w:t>　　（三）接受培训人员数</w:t>
            </w:r>
          </w:p>
        </w:tc>
        <w:tc>
          <w:tcPr>
            <w:tcW w:w="1002"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人次</w:t>
            </w:r>
          </w:p>
        </w:tc>
        <w:tc>
          <w:tcPr>
            <w:tcW w:w="10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z w:val="20"/>
                <w:szCs w:val="20"/>
              </w:rPr>
              <w:t>6</w:t>
            </w:r>
          </w:p>
        </w:tc>
      </w:tr>
    </w:tbl>
    <w:p>
      <w:pPr>
        <w:pStyle w:val="6"/>
        <w:keepNext w:val="0"/>
        <w:keepLines w:val="0"/>
        <w:widowControl/>
        <w:suppressLineNumbers w:val="0"/>
        <w:spacing w:before="0" w:beforeAutospacing="0" w:after="0" w:afterAutospacing="0"/>
        <w:ind w:left="0" w:right="0"/>
      </w:pPr>
      <w:r>
        <w:rPr>
          <w:rFonts w:hint="eastAsia" w:ascii="宋体" w:hAnsi="宋体" w:eastAsia="宋体" w:cs="宋体"/>
          <w:sz w:val="20"/>
          <w:szCs w:val="20"/>
        </w:rPr>
        <w:t> </w:t>
      </w:r>
    </w:p>
    <w:p>
      <w:pPr>
        <w:pStyle w:val="6"/>
        <w:keepNext w:val="0"/>
        <w:keepLines w:val="0"/>
        <w:widowControl/>
        <w:suppressLineNumbers w:val="0"/>
        <w:spacing w:before="0" w:beforeAutospacing="0" w:after="0" w:afterAutospacing="0"/>
        <w:ind w:left="0" w:right="0"/>
      </w:pPr>
      <w:r>
        <w:rPr>
          <w:rFonts w:hint="eastAsia" w:ascii="宋体" w:hAnsi="宋体" w:eastAsia="宋体" w:cs="宋体"/>
          <w:sz w:val="20"/>
          <w:szCs w:val="20"/>
        </w:rPr>
        <w:t>（注：各子栏目数要等于总栏目数量）</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89EFA0"/>
    <w:multiLevelType w:val="multilevel"/>
    <w:tmpl w:val="3F89EFA0"/>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JjZWRkZTFiZmM5YThjYzdhODZiOWM1ZWVmYTI3NTQifQ=="/>
  </w:docVars>
  <w:rsids>
    <w:rsidRoot w:val="00000000"/>
    <w:rsid w:val="011C043C"/>
    <w:rsid w:val="35DA0E85"/>
    <w:rsid w:val="4D182B7C"/>
    <w:rsid w:val="4EB44D67"/>
    <w:rsid w:val="7137690B"/>
    <w:rsid w:val="77365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883" w:firstLineChars="200"/>
      <w:jc w:val="both"/>
    </w:pPr>
    <w:rPr>
      <w:rFonts w:eastAsia="仿宋" w:asciiTheme="minorAscii" w:hAnsiTheme="minorAscii" w:cstheme="minorBidi"/>
      <w:kern w:val="2"/>
      <w:sz w:val="32"/>
      <w:szCs w:val="24"/>
      <w:lang w:val="en-US" w:eastAsia="zh-CN" w:bidi="ar-SA"/>
    </w:rPr>
  </w:style>
  <w:style w:type="paragraph" w:styleId="2">
    <w:name w:val="heading 1"/>
    <w:basedOn w:val="1"/>
    <w:next w:val="1"/>
    <w:qFormat/>
    <w:uiPriority w:val="0"/>
    <w:pPr>
      <w:keepNext/>
      <w:keepLines/>
      <w:spacing w:before="340" w:after="330" w:line="576" w:lineRule="auto"/>
      <w:ind w:firstLine="0" w:firstLineChars="0"/>
      <w:outlineLvl w:val="0"/>
    </w:pPr>
    <w:rPr>
      <w:rFonts w:eastAsia="黑体" w:asciiTheme="minorAscii" w:hAnsiTheme="minorAscii"/>
      <w:kern w:val="44"/>
      <w:sz w:val="32"/>
    </w:rPr>
  </w:style>
  <w:style w:type="paragraph" w:styleId="3">
    <w:name w:val="heading 2"/>
    <w:basedOn w:val="1"/>
    <w:next w:val="1"/>
    <w:semiHidden/>
    <w:unhideWhenUsed/>
    <w:qFormat/>
    <w:uiPriority w:val="0"/>
    <w:pPr>
      <w:keepNext/>
      <w:keepLines/>
      <w:spacing w:before="260" w:after="260" w:line="413" w:lineRule="auto"/>
      <w:ind w:firstLine="0" w:firstLineChars="0"/>
      <w:outlineLvl w:val="1"/>
    </w:pPr>
    <w:rPr>
      <w:rFonts w:ascii="Arial" w:hAnsi="Arial" w:eastAsia="楷体"/>
      <w:b/>
      <w:sz w:val="32"/>
    </w:rPr>
  </w:style>
  <w:style w:type="paragraph" w:styleId="4">
    <w:name w:val="heading 3"/>
    <w:basedOn w:val="1"/>
    <w:next w:val="1"/>
    <w:semiHidden/>
    <w:unhideWhenUsed/>
    <w:qFormat/>
    <w:uiPriority w:val="0"/>
    <w:pPr>
      <w:keepNext/>
      <w:keepLines/>
      <w:spacing w:before="260" w:after="260" w:line="413" w:lineRule="auto"/>
      <w:ind w:firstLine="0" w:firstLineChars="0"/>
      <w:outlineLvl w:val="2"/>
    </w:pPr>
    <w:rPr>
      <w:rFonts w:eastAsia="仿宋" w:asciiTheme="minorAscii" w:hAnsiTheme="minorAscii"/>
      <w:b/>
      <w:sz w:val="32"/>
    </w:rPr>
  </w:style>
  <w:style w:type="paragraph" w:styleId="5">
    <w:name w:val="heading 4"/>
    <w:basedOn w:val="1"/>
    <w:next w:val="1"/>
    <w:semiHidden/>
    <w:unhideWhenUsed/>
    <w:qFormat/>
    <w:uiPriority w:val="0"/>
    <w:pPr>
      <w:keepNext/>
      <w:keepLines/>
      <w:spacing w:before="280" w:after="290" w:line="372" w:lineRule="auto"/>
      <w:outlineLvl w:val="3"/>
    </w:pPr>
    <w:rPr>
      <w:rFonts w:ascii="Arial" w:hAnsi="Arial" w:eastAsia="仿宋"/>
      <w:b/>
      <w:sz w:val="32"/>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2023-03-30T02:22:00Z</dcterms:created>
  <dc:creator>韩辣</dc:creator>
  <cp:lastModifiedBy>lala</cp:lastModifiedBy>
  <dcterms:modified xsi:type="dcterms:W3CDTF">2023-10-17T06:17:24Z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0400DCFE3205411CBE600F1CA1B24C05</vt:lpwstr>
  </property>
</Properties>
</file>