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50143">
      <w:pPr>
        <w:widowControl/>
        <w:shd w:val="clear" w:color="auto" w:fill="FFFFFF"/>
        <w:spacing w:line="560" w:lineRule="exact"/>
        <w:jc w:val="left"/>
        <w:rPr>
          <w:rFonts w:hint="eastAsia" w:ascii="方正黑体_GBK" w:hAnsi="方正黑体_GBK" w:eastAsia="方正黑体_GBK" w:cs="方正黑体_GBK"/>
          <w:color w:val="auto"/>
          <w:spacing w:val="-6"/>
          <w:kern w:val="0"/>
          <w:sz w:val="32"/>
          <w:szCs w:val="32"/>
          <w:shd w:val="clear" w:color="auto" w:fill="FFFFFF"/>
        </w:rPr>
      </w:pPr>
      <w:r>
        <w:rPr>
          <w:rFonts w:hint="eastAsia" w:ascii="黑体" w:hAnsi="黑体" w:eastAsia="黑体" w:cs="黑体"/>
          <w:color w:val="auto"/>
          <w:spacing w:val="-6"/>
          <w:kern w:val="0"/>
          <w:sz w:val="32"/>
          <w:szCs w:val="32"/>
          <w:shd w:val="clear" w:color="auto" w:fill="FFFFFF"/>
        </w:rPr>
        <w:t>附件</w:t>
      </w:r>
      <w:r>
        <w:rPr>
          <w:rFonts w:hint="eastAsia" w:ascii="Times New Roman" w:hAnsi="Times New Roman" w:eastAsia="黑体" w:cs="黑体"/>
          <w:color w:val="auto"/>
          <w:spacing w:val="-6"/>
          <w:kern w:val="0"/>
          <w:sz w:val="32"/>
          <w:szCs w:val="32"/>
          <w:shd w:val="clear" w:color="auto" w:fill="FFFFFF"/>
        </w:rPr>
        <w:t>2</w:t>
      </w:r>
      <w:r>
        <w:rPr>
          <w:rFonts w:hint="eastAsia" w:ascii="黑体" w:hAnsi="黑体" w:eastAsia="黑体" w:cs="黑体"/>
          <w:color w:val="auto"/>
          <w:spacing w:val="-6"/>
          <w:kern w:val="0"/>
          <w:sz w:val="32"/>
          <w:szCs w:val="32"/>
          <w:shd w:val="clear" w:color="auto" w:fill="FFFFFF"/>
        </w:rPr>
        <w:t xml:space="preserve">   </w:t>
      </w:r>
      <w:r>
        <w:rPr>
          <w:rFonts w:hint="eastAsia" w:ascii="方正黑体_GBK" w:hAnsi="方正黑体_GBK" w:eastAsia="方正黑体_GBK" w:cs="方正黑体_GBK"/>
          <w:color w:val="auto"/>
          <w:spacing w:val="-6"/>
          <w:kern w:val="0"/>
          <w:sz w:val="32"/>
          <w:szCs w:val="32"/>
          <w:shd w:val="clear" w:color="auto" w:fill="FFFFFF"/>
        </w:rPr>
        <w:t xml:space="preserve">              </w:t>
      </w:r>
    </w:p>
    <w:p w14:paraId="2DE06E72">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36"/>
          <w:szCs w:val="36"/>
          <w:shd w:val="clear" w:color="auto" w:fill="FFFFFF"/>
        </w:rPr>
      </w:pPr>
      <w:bookmarkStart w:id="0" w:name="_GoBack"/>
      <w:r>
        <w:rPr>
          <w:rFonts w:hint="eastAsia" w:ascii="方正小标宋简体" w:hAnsi="方正小标宋简体" w:eastAsia="方正小标宋简体" w:cs="方正小标宋简体"/>
          <w:color w:val="auto"/>
          <w:spacing w:val="-6"/>
          <w:kern w:val="0"/>
          <w:sz w:val="36"/>
          <w:szCs w:val="36"/>
          <w:shd w:val="clear" w:color="auto" w:fill="FFFFFF"/>
        </w:rPr>
        <w:t>医疗卫生机构放射诊疗设备稳定性检测自查表</w:t>
      </w:r>
      <w:bookmarkEnd w:id="0"/>
    </w:p>
    <w:p w14:paraId="5215DF3A">
      <w:pPr>
        <w:spacing w:line="360" w:lineRule="exact"/>
        <w:rPr>
          <w:rFonts w:ascii="宋体" w:hAnsi="宋体" w:eastAsia="宋体" w:cs="Times New Roman"/>
          <w:color w:val="auto"/>
          <w:szCs w:val="21"/>
        </w:rPr>
      </w:pPr>
    </w:p>
    <w:p w14:paraId="198F13A0">
      <w:pPr>
        <w:spacing w:line="3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医疗机构（盖章）：</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医疗卫生机构等级：□级□等;□未定级 </w:t>
      </w:r>
    </w:p>
    <w:p w14:paraId="35ABE939">
      <w:pPr>
        <w:spacing w:line="3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放射诊疗许可证发证机关：□市卫生健康委  □区/县卫生健康局   放射诊疗科目：□</w:t>
      </w: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 xml:space="preserve">射线影像诊断   □介入放射学    □放射治疗   □核医学        </w:t>
      </w:r>
    </w:p>
    <w:tbl>
      <w:tblPr>
        <w:tblStyle w:val="6"/>
        <w:tblW w:w="14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260"/>
        <w:gridCol w:w="4650"/>
        <w:gridCol w:w="1200"/>
        <w:gridCol w:w="1560"/>
        <w:gridCol w:w="1710"/>
        <w:gridCol w:w="2655"/>
      </w:tblGrid>
      <w:tr w14:paraId="4619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gridSpan w:val="2"/>
          </w:tcPr>
          <w:p w14:paraId="710091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设备类别</w:t>
            </w:r>
          </w:p>
        </w:tc>
        <w:tc>
          <w:tcPr>
            <w:tcW w:w="4650" w:type="dxa"/>
            <w:vMerge w:val="restart"/>
          </w:tcPr>
          <w:p w14:paraId="6BE693F0">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设备类型</w:t>
            </w:r>
          </w:p>
        </w:tc>
        <w:tc>
          <w:tcPr>
            <w:tcW w:w="1200" w:type="dxa"/>
            <w:vMerge w:val="restart"/>
          </w:tcPr>
          <w:p w14:paraId="2B6CC77E">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合计数量（台）</w:t>
            </w:r>
          </w:p>
        </w:tc>
        <w:tc>
          <w:tcPr>
            <w:tcW w:w="1560" w:type="dxa"/>
            <w:vMerge w:val="restart"/>
          </w:tcPr>
          <w:p w14:paraId="1AD92FBF">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已完成检测</w:t>
            </w:r>
          </w:p>
          <w:p w14:paraId="4AD14F0B">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数（台）</w:t>
            </w:r>
          </w:p>
        </w:tc>
        <w:tc>
          <w:tcPr>
            <w:tcW w:w="1710" w:type="dxa"/>
            <w:vMerge w:val="restart"/>
          </w:tcPr>
          <w:p w14:paraId="4D495DF1">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未开展检测数</w:t>
            </w:r>
          </w:p>
          <w:p w14:paraId="00199D88">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（台）</w:t>
            </w:r>
          </w:p>
        </w:tc>
        <w:tc>
          <w:tcPr>
            <w:tcW w:w="2655" w:type="dxa"/>
            <w:vMerge w:val="restart"/>
          </w:tcPr>
          <w:p w14:paraId="76B785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未开展检测原因</w:t>
            </w:r>
          </w:p>
        </w:tc>
      </w:tr>
      <w:tr w14:paraId="0C23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Pr>
          <w:p w14:paraId="4388ECFF">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黑体" w:hAnsi="黑体" w:eastAsia="黑体" w:cs="黑体"/>
                <w:b w:val="0"/>
                <w:bCs w:val="0"/>
                <w:color w:val="auto"/>
              </w:rPr>
            </w:pPr>
            <w:r>
              <w:rPr>
                <w:rFonts w:hint="eastAsia" w:ascii="黑体" w:hAnsi="黑体" w:eastAsia="黑体" w:cs="黑体"/>
                <w:b w:val="0"/>
                <w:bCs w:val="0"/>
                <w:color w:val="auto"/>
              </w:rPr>
              <w:t>名称</w:t>
            </w:r>
          </w:p>
        </w:tc>
        <w:tc>
          <w:tcPr>
            <w:tcW w:w="1260" w:type="dxa"/>
          </w:tcPr>
          <w:p w14:paraId="33B49E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val="0"/>
                <w:color w:val="auto"/>
              </w:rPr>
            </w:pPr>
            <w:r>
              <w:rPr>
                <w:rFonts w:hint="eastAsia" w:ascii="黑体" w:hAnsi="黑体" w:eastAsia="黑体" w:cs="黑体"/>
                <w:b w:val="0"/>
                <w:bCs w:val="0"/>
                <w:color w:val="auto"/>
              </w:rPr>
              <w:t>数量（台）</w:t>
            </w:r>
          </w:p>
        </w:tc>
        <w:tc>
          <w:tcPr>
            <w:tcW w:w="4650" w:type="dxa"/>
            <w:vMerge w:val="continue"/>
          </w:tcPr>
          <w:p w14:paraId="545E2A90">
            <w:pPr>
              <w:keepNext w:val="0"/>
              <w:keepLines w:val="0"/>
              <w:pageBreakBefore w:val="0"/>
              <w:widowControl w:val="0"/>
              <w:kinsoku/>
              <w:wordWrap/>
              <w:overflowPunct/>
              <w:topLinePunct w:val="0"/>
              <w:autoSpaceDE/>
              <w:autoSpaceDN/>
              <w:bidi w:val="0"/>
              <w:adjustRightInd/>
              <w:snapToGrid/>
              <w:spacing w:line="440" w:lineRule="exact"/>
              <w:ind w:firstLine="1050" w:firstLineChars="500"/>
              <w:textAlignment w:val="auto"/>
              <w:rPr>
                <w:rFonts w:hint="eastAsia" w:ascii="仿宋_GB2312" w:hAnsi="仿宋_GB2312" w:eastAsia="仿宋_GB2312" w:cs="仿宋_GB2312"/>
                <w:color w:val="auto"/>
              </w:rPr>
            </w:pPr>
          </w:p>
        </w:tc>
        <w:tc>
          <w:tcPr>
            <w:tcW w:w="1200" w:type="dxa"/>
            <w:vMerge w:val="continue"/>
          </w:tcPr>
          <w:p w14:paraId="1CEA88A8">
            <w:pPr>
              <w:keepNext w:val="0"/>
              <w:keepLines w:val="0"/>
              <w:pageBreakBefore w:val="0"/>
              <w:widowControl w:val="0"/>
              <w:kinsoku/>
              <w:wordWrap/>
              <w:overflowPunct/>
              <w:topLinePunct w:val="0"/>
              <w:autoSpaceDE/>
              <w:autoSpaceDN/>
              <w:bidi w:val="0"/>
              <w:adjustRightInd/>
              <w:snapToGrid/>
              <w:spacing w:line="440" w:lineRule="exact"/>
              <w:ind w:left="210" w:hanging="210" w:hangingChars="100"/>
              <w:textAlignment w:val="auto"/>
              <w:rPr>
                <w:rFonts w:hint="eastAsia" w:ascii="仿宋_GB2312" w:hAnsi="仿宋_GB2312" w:eastAsia="仿宋_GB2312" w:cs="仿宋_GB2312"/>
                <w:color w:val="auto"/>
              </w:rPr>
            </w:pPr>
          </w:p>
        </w:tc>
        <w:tc>
          <w:tcPr>
            <w:tcW w:w="1560" w:type="dxa"/>
            <w:vMerge w:val="continue"/>
          </w:tcPr>
          <w:p w14:paraId="6BBBCB36">
            <w:pPr>
              <w:keepNext w:val="0"/>
              <w:keepLines w:val="0"/>
              <w:pageBreakBefore w:val="0"/>
              <w:widowControl w:val="0"/>
              <w:kinsoku/>
              <w:wordWrap/>
              <w:overflowPunct/>
              <w:topLinePunct w:val="0"/>
              <w:autoSpaceDE/>
              <w:autoSpaceDN/>
              <w:bidi w:val="0"/>
              <w:adjustRightInd/>
              <w:snapToGrid/>
              <w:spacing w:line="440" w:lineRule="exact"/>
              <w:ind w:left="210" w:hanging="210" w:hangingChars="100"/>
              <w:textAlignment w:val="auto"/>
              <w:rPr>
                <w:rFonts w:hint="eastAsia" w:ascii="仿宋_GB2312" w:hAnsi="仿宋_GB2312" w:eastAsia="仿宋_GB2312" w:cs="仿宋_GB2312"/>
                <w:color w:val="auto"/>
              </w:rPr>
            </w:pPr>
          </w:p>
        </w:tc>
        <w:tc>
          <w:tcPr>
            <w:tcW w:w="1710" w:type="dxa"/>
            <w:vMerge w:val="continue"/>
          </w:tcPr>
          <w:p w14:paraId="5523446D">
            <w:pPr>
              <w:keepNext w:val="0"/>
              <w:keepLines w:val="0"/>
              <w:pageBreakBefore w:val="0"/>
              <w:widowControl w:val="0"/>
              <w:kinsoku/>
              <w:wordWrap/>
              <w:overflowPunct/>
              <w:topLinePunct w:val="0"/>
              <w:autoSpaceDE/>
              <w:autoSpaceDN/>
              <w:bidi w:val="0"/>
              <w:adjustRightInd/>
              <w:snapToGrid/>
              <w:spacing w:line="440" w:lineRule="exact"/>
              <w:ind w:left="210" w:hanging="210" w:hangingChars="100"/>
              <w:textAlignment w:val="auto"/>
              <w:rPr>
                <w:rFonts w:hint="eastAsia" w:ascii="仿宋_GB2312" w:hAnsi="仿宋_GB2312" w:eastAsia="仿宋_GB2312" w:cs="仿宋_GB2312"/>
                <w:color w:val="auto"/>
              </w:rPr>
            </w:pPr>
          </w:p>
        </w:tc>
        <w:tc>
          <w:tcPr>
            <w:tcW w:w="2655" w:type="dxa"/>
            <w:vMerge w:val="continue"/>
          </w:tcPr>
          <w:p w14:paraId="7D8DE7A0">
            <w:pPr>
              <w:keepNext w:val="0"/>
              <w:keepLines w:val="0"/>
              <w:pageBreakBefore w:val="0"/>
              <w:widowControl w:val="0"/>
              <w:kinsoku/>
              <w:wordWrap/>
              <w:overflowPunct/>
              <w:topLinePunct w:val="0"/>
              <w:autoSpaceDE/>
              <w:autoSpaceDN/>
              <w:bidi w:val="0"/>
              <w:adjustRightInd/>
              <w:snapToGrid/>
              <w:spacing w:line="440" w:lineRule="exact"/>
              <w:ind w:left="210" w:hanging="210" w:hangingChars="100"/>
              <w:textAlignment w:val="auto"/>
              <w:rPr>
                <w:rFonts w:hint="eastAsia" w:ascii="仿宋_GB2312" w:hAnsi="仿宋_GB2312" w:eastAsia="仿宋_GB2312" w:cs="仿宋_GB2312"/>
                <w:color w:val="auto"/>
              </w:rPr>
            </w:pPr>
          </w:p>
        </w:tc>
      </w:tr>
      <w:tr w14:paraId="18F8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62" w:type="dxa"/>
            <w:vMerge w:val="restart"/>
          </w:tcPr>
          <w:p w14:paraId="1D0E6F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p w14:paraId="47A54D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p w14:paraId="11671F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p w14:paraId="184F7A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射线影像诊断类设备</w:t>
            </w:r>
          </w:p>
        </w:tc>
        <w:tc>
          <w:tcPr>
            <w:tcW w:w="1260" w:type="dxa"/>
            <w:vMerge w:val="restart"/>
          </w:tcPr>
          <w:p w14:paraId="5B86BF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1EF1C3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射线计算机体层摄影装置（</w:t>
            </w:r>
            <w:r>
              <w:rPr>
                <w:rFonts w:hint="eastAsia" w:ascii="Times New Roman" w:hAnsi="Times New Roman" w:eastAsia="仿宋_GB2312" w:cs="仿宋_GB2312"/>
                <w:color w:val="auto"/>
                <w:szCs w:val="21"/>
              </w:rPr>
              <w:t>CT</w:t>
            </w:r>
            <w:r>
              <w:rPr>
                <w:rFonts w:hint="eastAsia" w:ascii="仿宋_GB2312" w:hAnsi="仿宋_GB2312" w:eastAsia="仿宋_GB2312" w:cs="仿宋_GB2312"/>
                <w:color w:val="auto"/>
                <w:szCs w:val="21"/>
              </w:rPr>
              <w:t>）</w:t>
            </w:r>
          </w:p>
        </w:tc>
        <w:tc>
          <w:tcPr>
            <w:tcW w:w="1200" w:type="dxa"/>
          </w:tcPr>
          <w:p w14:paraId="0AEA2C7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46EE9C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419DC6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10CAF1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7077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62" w:type="dxa"/>
            <w:vMerge w:val="continue"/>
          </w:tcPr>
          <w:p w14:paraId="7ADB4E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3DFD6B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6D8E1AC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射线透视设备</w:t>
            </w:r>
          </w:p>
        </w:tc>
        <w:tc>
          <w:tcPr>
            <w:tcW w:w="1200" w:type="dxa"/>
          </w:tcPr>
          <w:p w14:paraId="092153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476EDA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324ED7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2DAEF90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0745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62" w:type="dxa"/>
            <w:vMerge w:val="continue"/>
          </w:tcPr>
          <w:p w14:paraId="2CD56C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2C0342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275C39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直接荧光屏透视设备</w:t>
            </w:r>
          </w:p>
        </w:tc>
        <w:tc>
          <w:tcPr>
            <w:tcW w:w="1200" w:type="dxa"/>
          </w:tcPr>
          <w:p w14:paraId="4C60B9D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2980EE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42FCC6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6C0A16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75C3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75E032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6DB71F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396EFA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屏片摄影设备</w:t>
            </w:r>
          </w:p>
        </w:tc>
        <w:tc>
          <w:tcPr>
            <w:tcW w:w="1200" w:type="dxa"/>
          </w:tcPr>
          <w:p w14:paraId="54DA4C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14430F2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678F28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49B5081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476F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1AABDB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10E562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2E9716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DR</w:t>
            </w:r>
            <w:r>
              <w:rPr>
                <w:rFonts w:hint="eastAsia" w:ascii="仿宋_GB2312" w:hAnsi="仿宋_GB2312" w:eastAsia="仿宋_GB2312" w:cs="仿宋_GB2312"/>
                <w:color w:val="auto"/>
                <w:szCs w:val="21"/>
              </w:rPr>
              <w:t>设备</w:t>
            </w:r>
          </w:p>
        </w:tc>
        <w:tc>
          <w:tcPr>
            <w:tcW w:w="1200" w:type="dxa"/>
          </w:tcPr>
          <w:p w14:paraId="1E19DB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4C657D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23DAEB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32139B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2DB1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33C1C2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7AFAF2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2AE45B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CR</w:t>
            </w:r>
            <w:r>
              <w:rPr>
                <w:rFonts w:hint="eastAsia" w:ascii="仿宋_GB2312" w:hAnsi="仿宋_GB2312" w:eastAsia="仿宋_GB2312" w:cs="仿宋_GB2312"/>
                <w:color w:val="auto"/>
                <w:szCs w:val="21"/>
              </w:rPr>
              <w:t>设备</w:t>
            </w:r>
          </w:p>
        </w:tc>
        <w:tc>
          <w:tcPr>
            <w:tcW w:w="1200" w:type="dxa"/>
          </w:tcPr>
          <w:p w14:paraId="2632DF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002E23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2A4AFA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0E32B7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6623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72DF34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50081E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0C29B82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牙科</w:t>
            </w: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射线设备</w:t>
            </w:r>
          </w:p>
        </w:tc>
        <w:tc>
          <w:tcPr>
            <w:tcW w:w="1200" w:type="dxa"/>
          </w:tcPr>
          <w:p w14:paraId="46273B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662955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7FD7789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5B33C7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4840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3646CA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64FF3B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174BD97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牙科</w:t>
            </w:r>
            <w:r>
              <w:rPr>
                <w:rFonts w:hint="eastAsia" w:ascii="Times New Roman" w:hAnsi="Times New Roman" w:eastAsia="仿宋_GB2312" w:cs="仿宋_GB2312"/>
                <w:color w:val="auto"/>
                <w:szCs w:val="21"/>
                <w:lang w:val="en-US" w:eastAsia="zh-CN"/>
              </w:rPr>
              <w:t>CBCT</w:t>
            </w:r>
            <w:r>
              <w:rPr>
                <w:rFonts w:hint="eastAsia" w:ascii="仿宋_GB2312" w:hAnsi="仿宋_GB2312" w:eastAsia="仿宋_GB2312" w:cs="仿宋_GB2312"/>
                <w:color w:val="auto"/>
                <w:szCs w:val="21"/>
                <w:lang w:val="en-US" w:eastAsia="zh-CN"/>
              </w:rPr>
              <w:t>设备</w:t>
            </w:r>
          </w:p>
        </w:tc>
        <w:tc>
          <w:tcPr>
            <w:tcW w:w="1200" w:type="dxa"/>
          </w:tcPr>
          <w:p w14:paraId="1A2614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0D61EB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3BF216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25C9A5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5CB3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30B2DB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3D8EB9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358D02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乳腺设备</w:t>
            </w:r>
          </w:p>
        </w:tc>
        <w:tc>
          <w:tcPr>
            <w:tcW w:w="1200" w:type="dxa"/>
          </w:tcPr>
          <w:p w14:paraId="48D5DA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687155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2337F6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70A18F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3AC4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1F0976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364EE73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33F2F61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lang w:val="en-US" w:eastAsia="zh-CN"/>
              </w:rPr>
              <w:t>乳腺</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设备</w:t>
            </w:r>
          </w:p>
        </w:tc>
        <w:tc>
          <w:tcPr>
            <w:tcW w:w="1200" w:type="dxa"/>
          </w:tcPr>
          <w:p w14:paraId="0EBF37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4327749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28EDD0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4C1620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215C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restart"/>
          </w:tcPr>
          <w:p w14:paraId="38A45A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介入放射学设备</w:t>
            </w:r>
          </w:p>
        </w:tc>
        <w:tc>
          <w:tcPr>
            <w:tcW w:w="1260" w:type="dxa"/>
            <w:vMerge w:val="restart"/>
          </w:tcPr>
          <w:p w14:paraId="480930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19FE98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DSA</w:t>
            </w:r>
            <w:r>
              <w:rPr>
                <w:rFonts w:hint="eastAsia" w:ascii="仿宋_GB2312" w:hAnsi="仿宋_GB2312" w:eastAsia="仿宋_GB2312" w:cs="仿宋_GB2312"/>
                <w:color w:val="auto"/>
                <w:szCs w:val="21"/>
              </w:rPr>
              <w:t>设备</w:t>
            </w:r>
          </w:p>
        </w:tc>
        <w:tc>
          <w:tcPr>
            <w:tcW w:w="1200" w:type="dxa"/>
          </w:tcPr>
          <w:p w14:paraId="244505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0C3848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194AD5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3371BF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4AB2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4FDCD0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4B214D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201435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具有</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功能的</w:t>
            </w:r>
            <w:r>
              <w:rPr>
                <w:rFonts w:hint="eastAsia" w:ascii="Times New Roman" w:hAnsi="Times New Roman" w:eastAsia="仿宋_GB2312" w:cs="仿宋_GB2312"/>
                <w:color w:val="auto"/>
                <w:szCs w:val="21"/>
              </w:rPr>
              <w:t>DSA</w:t>
            </w:r>
            <w:r>
              <w:rPr>
                <w:rFonts w:hint="eastAsia" w:ascii="仿宋_GB2312" w:hAnsi="仿宋_GB2312" w:eastAsia="仿宋_GB2312" w:cs="仿宋_GB2312"/>
                <w:color w:val="auto"/>
                <w:szCs w:val="21"/>
              </w:rPr>
              <w:t>设备</w:t>
            </w:r>
          </w:p>
        </w:tc>
        <w:tc>
          <w:tcPr>
            <w:tcW w:w="1200" w:type="dxa"/>
          </w:tcPr>
          <w:p w14:paraId="7763CA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537806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008C3A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67BCE8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7B64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restart"/>
          </w:tcPr>
          <w:p w14:paraId="573B2D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p w14:paraId="395F9B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放射治疗类设备</w:t>
            </w:r>
          </w:p>
          <w:p w14:paraId="1ECC97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restart"/>
          </w:tcPr>
          <w:p w14:paraId="444E1D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7EAE05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医用电子直线加速器</w:t>
            </w:r>
          </w:p>
        </w:tc>
        <w:tc>
          <w:tcPr>
            <w:tcW w:w="1200" w:type="dxa"/>
          </w:tcPr>
          <w:p w14:paraId="4EF1ED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0AB752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6E48093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1CE162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6662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7EF63C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099338D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157F095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有</w:t>
            </w:r>
            <w:r>
              <w:rPr>
                <w:rFonts w:hint="eastAsia" w:ascii="Times New Roman" w:hAnsi="Times New Roman" w:eastAsia="仿宋_GB2312" w:cs="仿宋_GB2312"/>
                <w:color w:val="auto"/>
                <w:szCs w:val="21"/>
              </w:rPr>
              <w:t>CBCT</w:t>
            </w:r>
            <w:r>
              <w:rPr>
                <w:rFonts w:hint="eastAsia" w:ascii="仿宋_GB2312" w:hAnsi="仿宋_GB2312" w:eastAsia="仿宋_GB2312" w:cs="仿宋_GB2312"/>
                <w:color w:val="auto"/>
                <w:szCs w:val="21"/>
              </w:rPr>
              <w:t>功能的医用电子直线加速器</w:t>
            </w:r>
          </w:p>
        </w:tc>
        <w:tc>
          <w:tcPr>
            <w:tcW w:w="1200" w:type="dxa"/>
          </w:tcPr>
          <w:p w14:paraId="6E7C3B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0F26C0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66D46F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269D26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0DEF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668C03D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02FE56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413EAB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后装</w:t>
            </w:r>
            <w:r>
              <w:rPr>
                <w:rFonts w:hint="eastAsia" w:ascii="Times New Roman" w:hAnsi="Times New Roman" w:eastAsia="仿宋_GB2312" w:cs="仿宋_GB2312"/>
                <w:color w:val="auto"/>
                <w:szCs w:val="21"/>
              </w:rPr>
              <w:t>γ</w:t>
            </w:r>
            <w:r>
              <w:rPr>
                <w:rFonts w:hint="eastAsia" w:ascii="仿宋_GB2312" w:hAnsi="仿宋_GB2312" w:eastAsia="仿宋_GB2312" w:cs="仿宋_GB2312"/>
                <w:color w:val="auto"/>
                <w:szCs w:val="21"/>
              </w:rPr>
              <w:t>源近距离治疗设备</w:t>
            </w:r>
          </w:p>
        </w:tc>
        <w:tc>
          <w:tcPr>
            <w:tcW w:w="1200" w:type="dxa"/>
          </w:tcPr>
          <w:p w14:paraId="0DBB47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3D65DE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5F550F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2DFEAD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389E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15CDA5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5E6EB51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273DD2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螺旋断层治疗装置</w:t>
            </w:r>
          </w:p>
        </w:tc>
        <w:tc>
          <w:tcPr>
            <w:tcW w:w="1200" w:type="dxa"/>
          </w:tcPr>
          <w:p w14:paraId="0DE3FA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540CE3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5C5DA7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4D5B18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6902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076BAF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19664E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2197E3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Times New Roman" w:hAnsi="Times New Roman" w:eastAsia="仿宋_GB2312" w:cs="仿宋_GB2312"/>
                <w:color w:val="auto"/>
                <w:szCs w:val="21"/>
              </w:rPr>
              <w:t>X</w:t>
            </w:r>
            <w:r>
              <w:rPr>
                <w:rFonts w:hint="eastAsia" w:ascii="仿宋_GB2312" w:hAnsi="仿宋_GB2312" w:eastAsia="仿宋_GB2312" w:cs="仿宋_GB2312"/>
                <w:color w:val="auto"/>
                <w:szCs w:val="21"/>
              </w:rPr>
              <w:t>、</w:t>
            </w:r>
            <w:r>
              <w:rPr>
                <w:rFonts w:hint="eastAsia" w:ascii="Times New Roman" w:hAnsi="Times New Roman" w:eastAsia="仿宋_GB2312" w:cs="仿宋_GB2312"/>
                <w:color w:val="auto"/>
                <w:szCs w:val="21"/>
              </w:rPr>
              <w:t>γ</w:t>
            </w:r>
            <w:r>
              <w:rPr>
                <w:rFonts w:hint="eastAsia" w:ascii="仿宋_GB2312" w:hAnsi="仿宋_GB2312" w:eastAsia="仿宋_GB2312" w:cs="仿宋_GB2312"/>
                <w:color w:val="auto"/>
                <w:szCs w:val="21"/>
              </w:rPr>
              <w:t>射线立体定向放射治疗系统</w:t>
            </w:r>
          </w:p>
        </w:tc>
        <w:tc>
          <w:tcPr>
            <w:tcW w:w="1200" w:type="dxa"/>
          </w:tcPr>
          <w:p w14:paraId="721AE1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1D8720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7F762D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10A5163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46A4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restart"/>
          </w:tcPr>
          <w:p w14:paraId="4462C5D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核医学类设备</w:t>
            </w:r>
          </w:p>
        </w:tc>
        <w:tc>
          <w:tcPr>
            <w:tcW w:w="1260" w:type="dxa"/>
            <w:vMerge w:val="restart"/>
          </w:tcPr>
          <w:p w14:paraId="07712F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79BD8E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伽玛照相机、单光子发射断层成像设备（</w:t>
            </w:r>
            <w:r>
              <w:rPr>
                <w:rFonts w:hint="eastAsia" w:ascii="Times New Roman" w:hAnsi="Times New Roman" w:eastAsia="仿宋_GB2312" w:cs="仿宋_GB2312"/>
                <w:color w:val="auto"/>
                <w:szCs w:val="21"/>
              </w:rPr>
              <w:t>SPECT</w:t>
            </w:r>
            <w:r>
              <w:rPr>
                <w:rFonts w:hint="eastAsia" w:ascii="仿宋_GB2312" w:hAnsi="仿宋_GB2312" w:eastAsia="仿宋_GB2312" w:cs="仿宋_GB2312"/>
                <w:color w:val="auto"/>
                <w:szCs w:val="21"/>
              </w:rPr>
              <w:t>)</w:t>
            </w:r>
          </w:p>
        </w:tc>
        <w:tc>
          <w:tcPr>
            <w:tcW w:w="1200" w:type="dxa"/>
          </w:tcPr>
          <w:p w14:paraId="4804EE6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5BF736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14B412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3C1821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r w14:paraId="099D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Merge w:val="continue"/>
          </w:tcPr>
          <w:p w14:paraId="0488DA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260" w:type="dxa"/>
            <w:vMerge w:val="continue"/>
          </w:tcPr>
          <w:p w14:paraId="39AB197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Cs w:val="21"/>
              </w:rPr>
            </w:pPr>
          </w:p>
        </w:tc>
        <w:tc>
          <w:tcPr>
            <w:tcW w:w="4650" w:type="dxa"/>
          </w:tcPr>
          <w:p w14:paraId="16330F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正电子发射断层成像设备（</w:t>
            </w:r>
            <w:r>
              <w:rPr>
                <w:rFonts w:hint="eastAsia" w:ascii="Times New Roman" w:hAnsi="Times New Roman" w:eastAsia="仿宋_GB2312" w:cs="仿宋_GB2312"/>
                <w:color w:val="auto"/>
                <w:szCs w:val="21"/>
              </w:rPr>
              <w:t>PET</w:t>
            </w:r>
            <w:r>
              <w:rPr>
                <w:rFonts w:hint="eastAsia" w:ascii="仿宋_GB2312" w:hAnsi="仿宋_GB2312" w:eastAsia="仿宋_GB2312" w:cs="仿宋_GB2312"/>
                <w:color w:val="auto"/>
                <w:szCs w:val="21"/>
              </w:rPr>
              <w:t>)</w:t>
            </w:r>
          </w:p>
        </w:tc>
        <w:tc>
          <w:tcPr>
            <w:tcW w:w="1200" w:type="dxa"/>
          </w:tcPr>
          <w:p w14:paraId="7F96CA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560" w:type="dxa"/>
          </w:tcPr>
          <w:p w14:paraId="49595FC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1710" w:type="dxa"/>
          </w:tcPr>
          <w:p w14:paraId="20797D2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c>
          <w:tcPr>
            <w:tcW w:w="2655" w:type="dxa"/>
          </w:tcPr>
          <w:p w14:paraId="762946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rPr>
            </w:pPr>
          </w:p>
        </w:tc>
      </w:tr>
    </w:tbl>
    <w:p w14:paraId="69A8D92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color w:val="auto"/>
          <w:szCs w:val="21"/>
        </w:rPr>
        <w:t>备注：</w:t>
      </w:r>
      <w:r>
        <w:rPr>
          <w:rFonts w:hint="eastAsia" w:ascii="Times New Roman" w:hAnsi="Times New Roman" w:eastAsia="仿宋_GB2312" w:cs="仿宋_GB2312"/>
          <w:b/>
          <w:color w:val="auto"/>
          <w:szCs w:val="21"/>
        </w:rPr>
        <w:t>1</w:t>
      </w:r>
      <w:r>
        <w:rPr>
          <w:rFonts w:hint="eastAsia" w:ascii="仿宋_GB2312" w:hAnsi="仿宋_GB2312" w:eastAsia="仿宋_GB2312" w:cs="仿宋_GB2312"/>
          <w:b/>
          <w:color w:val="auto"/>
          <w:szCs w:val="21"/>
        </w:rPr>
        <w:t>.有稳定性检测计划和记录，检测项目和检测周期符合国家标准要求。配备有稳定性检测设备并进行相关检测（有检测记录）或委托有能力的机构检测（有委托协议和检测记录）即为符合检测要求。</w:t>
      </w:r>
      <w:r>
        <w:rPr>
          <w:rFonts w:hint="eastAsia" w:ascii="Times New Roman" w:hAnsi="Times New Roman" w:eastAsia="仿宋_GB2312" w:cs="仿宋_GB2312"/>
          <w:b/>
          <w:color w:val="auto"/>
          <w:szCs w:val="21"/>
          <w:lang w:val="en-US" w:eastAsia="zh-CN"/>
        </w:rPr>
        <w:t>2</w:t>
      </w:r>
      <w:r>
        <w:rPr>
          <w:rFonts w:hint="eastAsia" w:ascii="仿宋_GB2312" w:hAnsi="仿宋_GB2312" w:eastAsia="仿宋_GB2312" w:cs="仿宋_GB2312"/>
          <w:b/>
          <w:color w:val="auto"/>
          <w:szCs w:val="21"/>
          <w:lang w:val="en-US" w:eastAsia="zh-CN"/>
        </w:rPr>
        <w:t>.设备不可重复统计，如牙科设备有</w:t>
      </w:r>
      <w:r>
        <w:rPr>
          <w:rFonts w:hint="eastAsia" w:ascii="Times New Roman" w:hAnsi="Times New Roman" w:eastAsia="仿宋_GB2312" w:cs="仿宋_GB2312"/>
          <w:b/>
          <w:color w:val="auto"/>
          <w:szCs w:val="21"/>
          <w:lang w:val="en-US" w:eastAsia="zh-CN"/>
        </w:rPr>
        <w:t>CBCT</w:t>
      </w:r>
      <w:r>
        <w:rPr>
          <w:rFonts w:hint="eastAsia" w:ascii="仿宋_GB2312" w:hAnsi="仿宋_GB2312" w:eastAsia="仿宋_GB2312" w:cs="仿宋_GB2312"/>
          <w:b/>
          <w:color w:val="auto"/>
          <w:szCs w:val="21"/>
          <w:lang w:val="en-US" w:eastAsia="zh-CN"/>
        </w:rPr>
        <w:t>功能的统计在牙科</w:t>
      </w:r>
      <w:r>
        <w:rPr>
          <w:rFonts w:hint="eastAsia" w:ascii="Times New Roman" w:hAnsi="Times New Roman" w:eastAsia="仿宋_GB2312" w:cs="仿宋_GB2312"/>
          <w:b/>
          <w:color w:val="auto"/>
          <w:szCs w:val="21"/>
          <w:lang w:val="en-US" w:eastAsia="zh-CN"/>
        </w:rPr>
        <w:t>CBCT</w:t>
      </w:r>
      <w:r>
        <w:rPr>
          <w:rFonts w:hint="eastAsia" w:ascii="仿宋_GB2312" w:hAnsi="仿宋_GB2312" w:eastAsia="仿宋_GB2312" w:cs="仿宋_GB2312"/>
          <w:b/>
          <w:color w:val="auto"/>
          <w:szCs w:val="21"/>
          <w:lang w:val="en-US" w:eastAsia="zh-CN"/>
        </w:rPr>
        <w:t>设备中，在牙科</w:t>
      </w:r>
      <w:r>
        <w:rPr>
          <w:rFonts w:hint="eastAsia" w:ascii="Times New Roman" w:hAnsi="Times New Roman" w:eastAsia="仿宋_GB2312" w:cs="仿宋_GB2312"/>
          <w:b/>
          <w:color w:val="auto"/>
          <w:szCs w:val="21"/>
          <w:lang w:val="en-US" w:eastAsia="zh-CN"/>
        </w:rPr>
        <w:t>X</w:t>
      </w:r>
      <w:r>
        <w:rPr>
          <w:rFonts w:hint="eastAsia" w:ascii="仿宋_GB2312" w:hAnsi="仿宋_GB2312" w:eastAsia="仿宋_GB2312" w:cs="仿宋_GB2312"/>
          <w:b/>
          <w:color w:val="auto"/>
          <w:szCs w:val="21"/>
          <w:lang w:val="en-US" w:eastAsia="zh-CN"/>
        </w:rPr>
        <w:t>射线设备中不再统计，有透视和拍片功能的设备按放射诊疗许可证上填报情况归于透视设备或摄影设备，不能重复统计在两类设备中。</w:t>
      </w:r>
    </w:p>
    <w:p w14:paraId="3D8DD29B">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rPr>
      </w:pPr>
    </w:p>
    <w:p w14:paraId="7A8CFE17">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自查人员：</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区县级核查人员：</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市级督查人员：</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日期：</w:t>
      </w:r>
      <w:r>
        <w:rPr>
          <w:rFonts w:hint="eastAsia" w:ascii="仿宋_GB2312" w:hAnsi="仿宋_GB2312" w:eastAsia="仿宋_GB2312" w:cs="仿宋_GB2312"/>
          <w:color w:val="auto"/>
          <w:szCs w:val="21"/>
          <w:u w:val="single"/>
        </w:rPr>
        <w:t xml:space="preserve">         </w:t>
      </w:r>
    </w:p>
    <w:p w14:paraId="4387138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04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unhideWhenUsed/>
    <w:qFormat/>
    <w:uiPriority w:val="0"/>
    <w:pPr>
      <w:widowControl w:val="0"/>
      <w:ind w:firstLine="420" w:firstLineChars="200"/>
    </w:pPr>
    <w:rPr>
      <w:rFonts w:hint="eastAsia"/>
      <w:sz w:val="21"/>
      <w:lang w:val="en-US" w:eastAsia="zh-CN"/>
    </w:rPr>
  </w:style>
  <w:style w:type="paragraph" w:styleId="4">
    <w:name w:val="Body Text Indent"/>
    <w:basedOn w:val="1"/>
    <w:unhideWhenUsed/>
    <w:qFormat/>
    <w:uiPriority w:val="0"/>
    <w:pPr>
      <w:spacing w:after="120"/>
      <w:ind w:left="420" w:leftChars="200"/>
    </w:pPr>
    <w:rPr>
      <w:rFonts w:hint="eastAsia"/>
      <w:sz w:val="21"/>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2025-04-01T08:22:11Z</dcterms:created>
  <dc:creator>24493</dc:creator>
  <cp:lastModifiedBy>嗨！</cp:lastModifiedBy>
  <dcterms:modified xsi:type="dcterms:W3CDTF">2025-04-01T08:22:22Z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eyJoZGlkIjoiODEyM2IxZjkxYWYxNGQwM2VkNzQ4YmI2OGZkNGQ3OTMiLCJ1c2VySWQiOiIzODkxNjkzMzUifQ==</vt:lpwstr>
  </property>
  <property fmtid="{D5CDD505-2E9C-101B-9397-08002B2CF9AE}" pid="4" name="ICV">
    <vt:lpwstr>136DBB9DBD3644AE9F3FC0003DB30AAD_12</vt:lpwstr>
  </property>
</Properties>
</file>