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黑体" w:eastAsia="仿宋_GB2312" w:cs="Times New Roman"/>
          <w:snapToGrid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黑体" w:eastAsia="仿宋_GB2312" w:cs="Times New Roman"/>
          <w:snapToGrid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黑体" w:eastAsia="仿宋_GB2312" w:cs="Times New Roman"/>
          <w:snapToGrid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黑体" w:eastAsia="仿宋_GB2312" w:cs="Times New Roman"/>
          <w:snapToGrid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黑体" w:eastAsia="仿宋_GB2312" w:cs="Times New Roman"/>
          <w:snapToGrid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黑体" w:eastAsia="仿宋_GB2312" w:cs="Times New Roman"/>
          <w:snapToGrid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both"/>
        <w:textAlignment w:val="auto"/>
        <w:rPr>
          <w:rFonts w:hint="eastAsia" w:ascii="仿宋_GB2312" w:hAnsi="黑体" w:eastAsia="仿宋_GB2312" w:cs="Times New Roman"/>
          <w:snapToGrid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napToGrid w:val="0"/>
          <w:kern w:val="0"/>
          <w:sz w:val="32"/>
          <w:szCs w:val="32"/>
          <w:lang w:eastAsia="zh-CN"/>
        </w:rPr>
      </w:pPr>
      <w:r>
        <w:rPr>
          <w:rFonts w:hint="eastAsia" w:ascii="仿宋_GB2312" w:hAnsi="仿宋_GB2312" w:eastAsia="仿宋_GB2312" w:cs="仿宋_GB2312"/>
          <w:snapToGrid w:val="0"/>
          <w:kern w:val="0"/>
          <w:sz w:val="32"/>
          <w:szCs w:val="32"/>
          <w:lang w:eastAsia="zh-CN"/>
        </w:rPr>
        <w:t>淄卫办字〔</w:t>
      </w:r>
      <w:r>
        <w:rPr>
          <w:rFonts w:hint="eastAsia" w:ascii="Times New Roman" w:hAnsi="Times New Roman" w:eastAsia="仿宋_GB2312" w:cs="仿宋_GB2312"/>
          <w:snapToGrid w:val="0"/>
          <w:kern w:val="0"/>
          <w:sz w:val="32"/>
          <w:szCs w:val="32"/>
          <w:lang w:val="en-US" w:eastAsia="zh-CN"/>
        </w:rPr>
        <w:t>202</w:t>
      </w:r>
      <w:r>
        <w:rPr>
          <w:rFonts w:hint="eastAsia" w:ascii="Times New Roman" w:hAnsi="Times New Roman" w:cs="仿宋_GB2312"/>
          <w:snapToGrid w:val="0"/>
          <w:kern w:val="0"/>
          <w:sz w:val="32"/>
          <w:szCs w:val="32"/>
          <w:lang w:val="en-US" w:eastAsia="zh-CN"/>
        </w:rPr>
        <w:t>5</w:t>
      </w:r>
      <w:r>
        <w:rPr>
          <w:rFonts w:hint="eastAsia" w:ascii="仿宋_GB2312" w:hAnsi="仿宋_GB2312" w:eastAsia="仿宋_GB2312" w:cs="仿宋_GB2312"/>
          <w:snapToGrid w:val="0"/>
          <w:kern w:val="0"/>
          <w:sz w:val="32"/>
          <w:szCs w:val="32"/>
          <w:lang w:eastAsia="zh-CN"/>
        </w:rPr>
        <w:t>〕</w:t>
      </w:r>
      <w:r>
        <w:rPr>
          <w:rFonts w:hint="eastAsia" w:ascii="Times New Roman" w:hAnsi="Times New Roman" w:eastAsia="仿宋_GB2312" w:cs="仿宋_GB2312"/>
          <w:snapToGrid w:val="0"/>
          <w:kern w:val="0"/>
          <w:sz w:val="32"/>
          <w:szCs w:val="32"/>
          <w:lang w:val="en-US" w:eastAsia="zh-CN"/>
        </w:rPr>
        <w:t>44</w:t>
      </w:r>
      <w:r>
        <w:rPr>
          <w:rFonts w:hint="eastAsia" w:ascii="仿宋_GB2312" w:hAnsi="仿宋_GB2312" w:eastAsia="仿宋_GB2312" w:cs="仿宋_GB2312"/>
          <w:snapToGrid w:val="0"/>
          <w:kern w:val="0"/>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b w:val="0"/>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b w:val="0"/>
          <w:bCs/>
          <w:sz w:val="32"/>
          <w:szCs w:val="32"/>
        </w:rPr>
      </w:pPr>
      <w:bookmarkStart w:id="1" w:name="_GoBack"/>
      <w:bookmarkEnd w:id="1"/>
    </w:p>
    <w:p>
      <w:pPr>
        <w:keepNext w:val="0"/>
        <w:keepLines w:val="0"/>
        <w:pageBreakBefore w:val="0"/>
        <w:widowControl/>
        <w:kinsoku w:val="0"/>
        <w:wordWrap/>
        <w:overflowPunct/>
        <w:topLinePunct w:val="0"/>
        <w:autoSpaceDE w:val="0"/>
        <w:autoSpaceDN w:val="0"/>
        <w:bidi w:val="0"/>
        <w:adjustRightInd w:val="0"/>
        <w:snapToGrid w:val="0"/>
        <w:spacing w:before="167" w:line="209" w:lineRule="auto"/>
        <w:ind w:left="0"/>
        <w:jc w:val="center"/>
        <w:textAlignment w:val="baseline"/>
        <w:rPr>
          <w:rFonts w:ascii="方正小标宋简体" w:hAnsi="方正小标宋简体" w:eastAsia="方正小标宋简体" w:cs="方正小标宋简体"/>
          <w:sz w:val="43"/>
          <w:szCs w:val="43"/>
        </w:rPr>
      </w:pPr>
      <w:r>
        <w:rPr>
          <w:rFonts w:hint="eastAsia" w:ascii="方正小标宋简体" w:hAnsi="方正小标宋简体" w:eastAsia="方正小标宋简体" w:cs="方正小标宋简体"/>
          <w:spacing w:val="5"/>
          <w:sz w:val="43"/>
          <w:szCs w:val="43"/>
          <w:lang w:val="en-US" w:eastAsia="zh-CN"/>
        </w:rPr>
        <w:t>淄博市</w:t>
      </w:r>
      <w:r>
        <w:rPr>
          <w:rFonts w:ascii="方正小标宋简体" w:hAnsi="方正小标宋简体" w:eastAsia="方正小标宋简体" w:cs="方正小标宋简体"/>
          <w:spacing w:val="5"/>
          <w:sz w:val="43"/>
          <w:szCs w:val="43"/>
        </w:rPr>
        <w:t>卫生健康委员会</w:t>
      </w:r>
    </w:p>
    <w:p>
      <w:pPr>
        <w:keepNext w:val="0"/>
        <w:keepLines w:val="0"/>
        <w:pageBreakBefore w:val="0"/>
        <w:widowControl/>
        <w:kinsoku w:val="0"/>
        <w:wordWrap/>
        <w:overflowPunct/>
        <w:topLinePunct w:val="0"/>
        <w:autoSpaceDE w:val="0"/>
        <w:autoSpaceDN w:val="0"/>
        <w:bidi w:val="0"/>
        <w:adjustRightInd w:val="0"/>
        <w:snapToGrid w:val="0"/>
        <w:spacing w:before="101" w:line="208" w:lineRule="auto"/>
        <w:ind w:left="0"/>
        <w:jc w:val="center"/>
        <w:textAlignment w:val="baseline"/>
        <w:outlineLvl w:val="1"/>
        <w:rPr>
          <w:rFonts w:ascii="方正小标宋简体" w:hAnsi="方正小标宋简体" w:eastAsia="方正小标宋简体" w:cs="方正小标宋简体"/>
          <w:sz w:val="43"/>
          <w:szCs w:val="43"/>
        </w:rPr>
      </w:pPr>
      <w:r>
        <w:rPr>
          <w:rFonts w:ascii="方正小标宋简体" w:hAnsi="方正小标宋简体" w:eastAsia="方正小标宋简体" w:cs="方正小标宋简体"/>
          <w:spacing w:val="20"/>
          <w:sz w:val="43"/>
          <w:szCs w:val="43"/>
        </w:rPr>
        <w:t>关于印发《</w:t>
      </w:r>
      <w:r>
        <w:rPr>
          <w:rFonts w:hint="eastAsia" w:ascii="方正小标宋简体" w:hAnsi="方正小标宋简体" w:eastAsia="方正小标宋简体" w:cs="方正小标宋简体"/>
          <w:spacing w:val="20"/>
          <w:sz w:val="43"/>
          <w:szCs w:val="43"/>
          <w:lang w:val="en-US" w:eastAsia="zh-CN"/>
        </w:rPr>
        <w:t>淄博市</w:t>
      </w:r>
      <w:r>
        <w:rPr>
          <w:rFonts w:ascii="方正小标宋简体" w:hAnsi="方正小标宋简体" w:eastAsia="方正小标宋简体" w:cs="方正小标宋简体"/>
          <w:spacing w:val="20"/>
          <w:sz w:val="43"/>
          <w:szCs w:val="43"/>
        </w:rPr>
        <w:t>“规范诊疗提升年”</w:t>
      </w:r>
    </w:p>
    <w:p>
      <w:pPr>
        <w:keepNext w:val="0"/>
        <w:keepLines w:val="0"/>
        <w:pageBreakBefore w:val="0"/>
        <w:widowControl/>
        <w:kinsoku w:val="0"/>
        <w:wordWrap/>
        <w:overflowPunct/>
        <w:topLinePunct w:val="0"/>
        <w:autoSpaceDE w:val="0"/>
        <w:autoSpaceDN w:val="0"/>
        <w:bidi w:val="0"/>
        <w:adjustRightInd w:val="0"/>
        <w:snapToGrid w:val="0"/>
        <w:spacing w:before="101" w:line="208" w:lineRule="auto"/>
        <w:ind w:left="0"/>
        <w:jc w:val="center"/>
        <w:textAlignment w:val="baseline"/>
        <w:outlineLvl w:val="2"/>
        <w:rPr>
          <w:rFonts w:ascii="方正小标宋简体" w:hAnsi="方正小标宋简体" w:eastAsia="方正小标宋简体" w:cs="方正小标宋简体"/>
          <w:sz w:val="43"/>
          <w:szCs w:val="43"/>
        </w:rPr>
      </w:pPr>
      <w:r>
        <w:rPr>
          <w:rFonts w:ascii="方正小标宋简体" w:hAnsi="方正小标宋简体" w:eastAsia="方正小标宋简体" w:cs="方正小标宋简体"/>
          <w:spacing w:val="6"/>
          <w:sz w:val="43"/>
          <w:szCs w:val="43"/>
        </w:rPr>
        <w:t>活动</w:t>
      </w:r>
      <w:r>
        <w:rPr>
          <w:rFonts w:hint="eastAsia" w:ascii="方正小标宋简体" w:hAnsi="方正小标宋简体" w:eastAsia="方正小标宋简体" w:cs="方正小标宋简体"/>
          <w:spacing w:val="6"/>
          <w:sz w:val="43"/>
          <w:szCs w:val="43"/>
          <w:lang w:val="en-US" w:eastAsia="zh-CN"/>
        </w:rPr>
        <w:t>实施</w:t>
      </w:r>
      <w:r>
        <w:rPr>
          <w:rFonts w:ascii="方正小标宋简体" w:hAnsi="方正小标宋简体" w:eastAsia="方正小标宋简体" w:cs="方正小标宋简体"/>
          <w:spacing w:val="6"/>
          <w:sz w:val="43"/>
          <w:szCs w:val="43"/>
        </w:rPr>
        <w:t>方案》的通知</w:t>
      </w:r>
    </w:p>
    <w:p>
      <w:pPr>
        <w:spacing w:line="260" w:lineRule="auto"/>
        <w:rPr>
          <w:rFonts w:ascii="Arial"/>
          <w:sz w:val="21"/>
        </w:rPr>
      </w:pPr>
    </w:p>
    <w:p>
      <w:pPr>
        <w:spacing w:line="261" w:lineRule="auto"/>
        <w:rPr>
          <w:rFonts w:ascii="Arial"/>
          <w:sz w:val="21"/>
        </w:rPr>
      </w:pPr>
    </w:p>
    <w:p>
      <w:pPr>
        <w:keepNext w:val="0"/>
        <w:keepLines w:val="0"/>
        <w:pageBreakBefore w:val="0"/>
        <w:widowControl w:val="0"/>
        <w:kinsoku/>
        <w:wordWrap/>
        <w:overflowPunct w:val="0"/>
        <w:topLinePunct w:val="0"/>
        <w:autoSpaceDE/>
        <w:autoSpaceDN/>
        <w:bidi w:val="0"/>
        <w:adjustRightInd w:val="0"/>
        <w:snapToGrid w:val="0"/>
        <w:spacing w:line="600" w:lineRule="exact"/>
        <w:textAlignment w:val="auto"/>
        <w:rPr>
          <w:rFonts w:hint="eastAsia" w:ascii="仿宋_GB2312" w:hAnsi="仿宋_GB2312" w:eastAsia="仿宋_GB2312" w:cs="仿宋_GB2312"/>
          <w:sz w:val="32"/>
          <w:szCs w:val="32"/>
        </w:rPr>
      </w:pPr>
      <w:bookmarkStart w:id="0" w:name="OLE_LINK2"/>
      <w:r>
        <w:rPr>
          <w:rFonts w:hint="eastAsia" w:ascii="仿宋_GB2312" w:hAnsi="仿宋_GB2312" w:eastAsia="仿宋_GB2312" w:cs="仿宋_GB2312"/>
          <w:sz w:val="32"/>
          <w:szCs w:val="32"/>
        </w:rPr>
        <w:t>各区县卫生健康局，高新区</w:t>
      </w:r>
      <w:r>
        <w:rPr>
          <w:rFonts w:hint="eastAsia" w:ascii="仿宋_GB2312" w:hAnsi="仿宋_GB2312" w:eastAsia="仿宋_GB2312" w:cs="仿宋_GB2312"/>
          <w:sz w:val="32"/>
          <w:szCs w:val="32"/>
          <w:lang w:eastAsia="zh-CN"/>
        </w:rPr>
        <w:t>卫生</w:t>
      </w:r>
      <w:r>
        <w:rPr>
          <w:rFonts w:hint="eastAsia" w:ascii="仿宋_GB2312" w:hAnsi="仿宋_GB2312" w:eastAsia="仿宋_GB2312" w:cs="仿宋_GB2312"/>
          <w:sz w:val="32"/>
          <w:szCs w:val="32"/>
          <w:lang w:val="en-US" w:eastAsia="zh-CN"/>
        </w:rPr>
        <w:t>健康</w:t>
      </w:r>
      <w:r>
        <w:rPr>
          <w:rFonts w:hint="eastAsia" w:ascii="仿宋_GB2312" w:hAnsi="仿宋_GB2312" w:eastAsia="仿宋_GB2312" w:cs="仿宋_GB2312"/>
          <w:sz w:val="32"/>
          <w:szCs w:val="32"/>
          <w:lang w:eastAsia="zh-CN"/>
        </w:rPr>
        <w:t>事业中心</w:t>
      </w:r>
      <w:r>
        <w:rPr>
          <w:rFonts w:hint="eastAsia" w:ascii="仿宋_GB2312" w:hAnsi="仿宋_GB2312" w:eastAsia="仿宋_GB2312" w:cs="仿宋_GB2312"/>
          <w:sz w:val="32"/>
          <w:szCs w:val="32"/>
        </w:rPr>
        <w:t>、南部生态产业新城发展中心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文昌湖区地事局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委属</w:t>
      </w:r>
      <w:r>
        <w:rPr>
          <w:rFonts w:hint="eastAsia" w:ascii="仿宋_GB2312" w:hAnsi="仿宋_GB2312" w:eastAsia="仿宋_GB2312" w:cs="仿宋_GB2312"/>
          <w:sz w:val="32"/>
          <w:szCs w:val="32"/>
          <w:lang w:val="en-US" w:eastAsia="zh-CN"/>
        </w:rPr>
        <w:t>委</w:t>
      </w:r>
      <w:r>
        <w:rPr>
          <w:rFonts w:hint="eastAsia" w:ascii="仿宋_GB2312" w:hAnsi="仿宋_GB2312" w:eastAsia="仿宋_GB2312" w:cs="仿宋_GB2312"/>
          <w:sz w:val="32"/>
          <w:szCs w:val="32"/>
        </w:rPr>
        <w:t>管</w:t>
      </w:r>
      <w:r>
        <w:rPr>
          <w:rFonts w:hint="eastAsia" w:ascii="仿宋_GB2312" w:hAnsi="仿宋_GB2312" w:eastAsia="仿宋_GB2312" w:cs="仿宋_GB2312"/>
          <w:sz w:val="32"/>
          <w:szCs w:val="32"/>
          <w:lang w:val="en-US" w:eastAsia="zh-CN"/>
        </w:rPr>
        <w:t>医疗机构</w:t>
      </w:r>
      <w:r>
        <w:rPr>
          <w:rFonts w:hint="eastAsia" w:ascii="仿宋_GB2312" w:hAnsi="仿宋_GB2312" w:eastAsia="仿宋_GB2312" w:cs="仿宋_GB2312"/>
          <w:sz w:val="32"/>
          <w:szCs w:val="32"/>
        </w:rPr>
        <w:t>：</w:t>
      </w:r>
      <w:bookmarkEnd w:id="0"/>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为深入贯彻落实《全面提升医疗质量行动计划工作方案（</w:t>
      </w:r>
      <w:r>
        <w:rPr>
          <w:rFonts w:hint="eastAsia" w:ascii="Times New Roman" w:hAnsi="Times New Roman" w:eastAsia="仿宋_GB2312" w:cs="仿宋_GB2312"/>
          <w:sz w:val="32"/>
          <w:szCs w:val="32"/>
        </w:rPr>
        <w:t>2023</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2025</w:t>
      </w:r>
      <w:r>
        <w:rPr>
          <w:rFonts w:hint="eastAsia" w:ascii="仿宋_GB2312" w:hAnsi="仿宋_GB2312" w:eastAsia="仿宋_GB2312" w:cs="仿宋_GB2312"/>
          <w:sz w:val="32"/>
          <w:szCs w:val="32"/>
        </w:rPr>
        <w:t>年）》（鲁卫函〔</w:t>
      </w:r>
      <w:r>
        <w:rPr>
          <w:rFonts w:hint="eastAsia" w:ascii="Times New Roman" w:hAnsi="Times New Roman" w:eastAsia="仿宋_GB2312" w:cs="仿宋_GB2312"/>
          <w:sz w:val="32"/>
          <w:szCs w:val="32"/>
        </w:rPr>
        <w:t>2023</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285</w:t>
      </w:r>
      <w:r>
        <w:rPr>
          <w:rFonts w:hint="eastAsia" w:ascii="仿宋_GB2312" w:hAnsi="仿宋_GB2312" w:eastAsia="仿宋_GB2312" w:cs="仿宋_GB2312"/>
          <w:sz w:val="32"/>
          <w:szCs w:val="32"/>
        </w:rPr>
        <w:t xml:space="preserve"> 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山东省“规范诊疗提升年”活动方案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要求，进一步规范诊疗行为，提升医疗质量，我委制定了《</w:t>
      </w:r>
      <w:r>
        <w:rPr>
          <w:rFonts w:hint="eastAsia" w:ascii="仿宋_GB2312" w:hAnsi="仿宋_GB2312" w:eastAsia="仿宋_GB2312" w:cs="仿宋_GB2312"/>
          <w:sz w:val="32"/>
          <w:szCs w:val="32"/>
          <w:lang w:val="en-US" w:eastAsia="zh-CN"/>
        </w:rPr>
        <w:t>淄博市</w:t>
      </w:r>
      <w:r>
        <w:rPr>
          <w:rFonts w:hint="eastAsia" w:ascii="仿宋_GB2312" w:hAnsi="仿宋_GB2312" w:eastAsia="仿宋_GB2312" w:cs="仿宋_GB2312"/>
          <w:sz w:val="32"/>
          <w:szCs w:val="32"/>
        </w:rPr>
        <w:t>“规范诊疗提升年”活动</w:t>
      </w:r>
      <w:r>
        <w:rPr>
          <w:rFonts w:hint="eastAsia" w:ascii="仿宋_GB2312" w:hAnsi="仿宋_GB2312" w:eastAsia="仿宋_GB2312" w:cs="仿宋_GB2312"/>
          <w:sz w:val="32"/>
          <w:szCs w:val="32"/>
          <w:lang w:val="en-US" w:eastAsia="zh-CN"/>
        </w:rPr>
        <w:t>实施</w:t>
      </w:r>
      <w:r>
        <w:rPr>
          <w:rFonts w:hint="eastAsia" w:ascii="仿宋_GB2312" w:hAnsi="仿宋_GB2312" w:eastAsia="仿宋_GB2312" w:cs="仿宋_GB2312"/>
          <w:sz w:val="32"/>
          <w:szCs w:val="32"/>
        </w:rPr>
        <w:t>方案》，现印发给你们，请认真贯彻执行。</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w:t>
      </w:r>
      <w:r>
        <w:rPr>
          <w:rFonts w:hint="eastAsia" w:ascii="仿宋_GB2312" w:hAnsi="仿宋_GB2312" w:eastAsia="仿宋_GB2312" w:cs="仿宋_GB2312"/>
          <w:sz w:val="32"/>
          <w:szCs w:val="32"/>
          <w:lang w:val="en-US" w:eastAsia="zh-CN"/>
        </w:rPr>
        <w:t>电话</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lang w:val="en-US" w:eastAsia="zh-CN"/>
        </w:rPr>
        <w:t>2777823</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电子邮箱：</w:t>
      </w:r>
      <w:r>
        <w:rPr>
          <w:rFonts w:hint="default" w:ascii="Times New Roman" w:hAnsi="Times New Roman" w:eastAsia="仿宋_GB2312" w:cs="Times New Roman"/>
          <w:sz w:val="32"/>
          <w:szCs w:val="32"/>
          <w:lang w:val="en-US" w:eastAsia="zh-CN"/>
        </w:rPr>
        <w:t>swjwyzk@zb.shandong.cn</w:t>
      </w:r>
    </w:p>
    <w:p>
      <w:pPr>
        <w:keepNext w:val="0"/>
        <w:keepLines w:val="0"/>
        <w:pageBreakBefore w:val="0"/>
        <w:widowControl w:val="0"/>
        <w:kinsoku/>
        <w:wordWrap/>
        <w:overflowPunct w:val="0"/>
        <w:topLinePunct w:val="0"/>
        <w:autoSpaceDE/>
        <w:autoSpaceDN/>
        <w:bidi w:val="0"/>
        <w:adjustRightInd w:val="0"/>
        <w:snapToGrid w:val="0"/>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val="0"/>
        <w:topLinePunct w:val="0"/>
        <w:autoSpaceDE/>
        <w:autoSpaceDN/>
        <w:bidi w:val="0"/>
        <w:adjustRightInd w:val="0"/>
        <w:snapToGrid w:val="0"/>
        <w:spacing w:line="600" w:lineRule="exact"/>
        <w:ind w:firstLine="4160" w:firstLineChars="13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val="0"/>
        <w:topLinePunct w:val="0"/>
        <w:autoSpaceDE/>
        <w:autoSpaceDN/>
        <w:bidi w:val="0"/>
        <w:adjustRightInd w:val="0"/>
        <w:snapToGrid w:val="0"/>
        <w:spacing w:line="600" w:lineRule="exact"/>
        <w:ind w:firstLine="4800" w:firstLineChars="1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淄博市</w:t>
      </w:r>
      <w:r>
        <w:rPr>
          <w:rFonts w:hint="eastAsia" w:ascii="仿宋_GB2312" w:hAnsi="仿宋_GB2312" w:eastAsia="仿宋_GB2312" w:cs="仿宋_GB2312"/>
          <w:sz w:val="32"/>
          <w:szCs w:val="32"/>
        </w:rPr>
        <w:t>卫生健康委员会</w:t>
      </w:r>
    </w:p>
    <w:p>
      <w:pPr>
        <w:keepNext w:val="0"/>
        <w:keepLines w:val="0"/>
        <w:pageBreakBefore w:val="0"/>
        <w:widowControl w:val="0"/>
        <w:kinsoku/>
        <w:wordWrap/>
        <w:overflowPunct w:val="0"/>
        <w:topLinePunct w:val="0"/>
        <w:autoSpaceDE/>
        <w:autoSpaceDN/>
        <w:bidi w:val="0"/>
        <w:adjustRightInd w:val="0"/>
        <w:snapToGrid w:val="0"/>
        <w:spacing w:line="600" w:lineRule="exact"/>
        <w:ind w:firstLine="5120" w:firstLineChars="16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2025</w:t>
      </w:r>
      <w:r>
        <w:rPr>
          <w:rFonts w:hint="eastAsia" w:ascii="仿宋_GB2312" w:hAnsi="仿宋_GB2312" w:eastAsia="仿宋_GB2312" w:cs="仿宋_GB2312"/>
          <w:sz w:val="32"/>
          <w:szCs w:val="32"/>
          <w:lang w:val="en-US" w:eastAsia="zh-CN"/>
        </w:rPr>
        <w:t>年</w:t>
      </w:r>
      <w:r>
        <w:rPr>
          <w:rFonts w:hint="eastAsia" w:ascii="Times New Roman" w:hAnsi="Times New Roman" w:eastAsia="仿宋_GB2312" w:cs="仿宋_GB2312"/>
          <w:sz w:val="32"/>
          <w:szCs w:val="32"/>
          <w:lang w:val="en-US" w:eastAsia="zh-CN"/>
        </w:rPr>
        <w:t>4</w:t>
      </w:r>
      <w:r>
        <w:rPr>
          <w:rFonts w:hint="eastAsia" w:ascii="仿宋_GB2312" w:hAnsi="仿宋_GB2312" w:eastAsia="仿宋_GB2312" w:cs="仿宋_GB2312"/>
          <w:sz w:val="32"/>
          <w:szCs w:val="32"/>
          <w:lang w:val="en-US" w:eastAsia="zh-CN"/>
        </w:rPr>
        <w:t>月</w:t>
      </w:r>
      <w:r>
        <w:rPr>
          <w:rFonts w:hint="eastAsia" w:ascii="Times New Roman" w:hAnsi="Times New Roman" w:eastAsia="仿宋_GB2312" w:cs="仿宋_GB2312"/>
          <w:sz w:val="32"/>
          <w:szCs w:val="32"/>
          <w:lang w:val="en-US" w:eastAsia="zh-CN"/>
        </w:rPr>
        <w:t>22</w:t>
      </w:r>
      <w:r>
        <w:rPr>
          <w:rFonts w:hint="eastAsia" w:ascii="仿宋_GB2312" w:hAnsi="仿宋_GB2312" w:eastAsia="仿宋_GB2312" w:cs="仿宋_GB2312"/>
          <w:sz w:val="32"/>
          <w:szCs w:val="32"/>
          <w:lang w:val="en-US" w:eastAsia="zh-CN"/>
        </w:rPr>
        <w:t>日</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（信息公开形式：主动公开）</w:t>
      </w:r>
    </w:p>
    <w:p>
      <w:pPr>
        <w:spacing w:before="166" w:line="208" w:lineRule="auto"/>
        <w:ind w:left="885"/>
        <w:outlineLvl w:val="1"/>
        <w:rPr>
          <w:rFonts w:hint="eastAsia" w:ascii="方正小标宋简体" w:hAnsi="方正小标宋简体" w:eastAsia="方正小标宋简体" w:cs="方正小标宋简体"/>
          <w:spacing w:val="6"/>
          <w:sz w:val="43"/>
          <w:szCs w:val="43"/>
          <w:lang w:val="en-US" w:eastAsia="zh-CN"/>
        </w:rPr>
      </w:pPr>
    </w:p>
    <w:p>
      <w:pPr>
        <w:spacing w:before="166" w:line="208" w:lineRule="auto"/>
        <w:ind w:left="885"/>
        <w:outlineLvl w:val="1"/>
        <w:rPr>
          <w:rFonts w:hint="eastAsia" w:ascii="方正小标宋简体" w:hAnsi="方正小标宋简体" w:eastAsia="方正小标宋简体" w:cs="方正小标宋简体"/>
          <w:spacing w:val="6"/>
          <w:sz w:val="43"/>
          <w:szCs w:val="43"/>
          <w:lang w:val="en-US" w:eastAsia="zh-CN"/>
        </w:rPr>
      </w:pPr>
    </w:p>
    <w:p>
      <w:pPr>
        <w:spacing w:before="166" w:line="208" w:lineRule="auto"/>
        <w:ind w:left="885"/>
        <w:outlineLvl w:val="1"/>
        <w:rPr>
          <w:rFonts w:hint="eastAsia" w:ascii="方正小标宋简体" w:hAnsi="方正小标宋简体" w:eastAsia="方正小标宋简体" w:cs="方正小标宋简体"/>
          <w:spacing w:val="6"/>
          <w:sz w:val="43"/>
          <w:szCs w:val="43"/>
          <w:lang w:val="en-US" w:eastAsia="zh-CN"/>
        </w:rPr>
      </w:pPr>
    </w:p>
    <w:p>
      <w:pPr>
        <w:spacing w:before="166" w:line="208" w:lineRule="auto"/>
        <w:ind w:left="885"/>
        <w:outlineLvl w:val="1"/>
        <w:rPr>
          <w:rFonts w:hint="eastAsia" w:ascii="方正小标宋简体" w:hAnsi="方正小标宋简体" w:eastAsia="方正小标宋简体" w:cs="方正小标宋简体"/>
          <w:spacing w:val="6"/>
          <w:sz w:val="43"/>
          <w:szCs w:val="43"/>
          <w:lang w:val="en-US" w:eastAsia="zh-CN"/>
        </w:rPr>
      </w:pPr>
    </w:p>
    <w:p>
      <w:pPr>
        <w:spacing w:before="166" w:line="208" w:lineRule="auto"/>
        <w:ind w:left="885"/>
        <w:outlineLvl w:val="1"/>
        <w:rPr>
          <w:rFonts w:hint="eastAsia" w:ascii="方正小标宋简体" w:hAnsi="方正小标宋简体" w:eastAsia="方正小标宋简体" w:cs="方正小标宋简体"/>
          <w:spacing w:val="6"/>
          <w:sz w:val="43"/>
          <w:szCs w:val="43"/>
          <w:lang w:val="en-US" w:eastAsia="zh-CN"/>
        </w:rPr>
      </w:pPr>
    </w:p>
    <w:p>
      <w:pPr>
        <w:spacing w:before="166" w:line="208" w:lineRule="auto"/>
        <w:ind w:left="885"/>
        <w:outlineLvl w:val="1"/>
        <w:rPr>
          <w:rFonts w:hint="eastAsia" w:ascii="方正小标宋简体" w:hAnsi="方正小标宋简体" w:eastAsia="方正小标宋简体" w:cs="方正小标宋简体"/>
          <w:spacing w:val="6"/>
          <w:sz w:val="43"/>
          <w:szCs w:val="43"/>
          <w:lang w:val="en-US" w:eastAsia="zh-CN"/>
        </w:rPr>
      </w:pPr>
    </w:p>
    <w:p>
      <w:pPr>
        <w:spacing w:before="166" w:line="208" w:lineRule="auto"/>
        <w:ind w:left="885"/>
        <w:outlineLvl w:val="1"/>
        <w:rPr>
          <w:rFonts w:hint="eastAsia" w:ascii="方正小标宋简体" w:hAnsi="方正小标宋简体" w:eastAsia="方正小标宋简体" w:cs="方正小标宋简体"/>
          <w:spacing w:val="6"/>
          <w:sz w:val="43"/>
          <w:szCs w:val="43"/>
          <w:lang w:val="en-US" w:eastAsia="zh-CN"/>
        </w:rPr>
      </w:pPr>
    </w:p>
    <w:p>
      <w:pPr>
        <w:spacing w:before="166" w:line="208" w:lineRule="auto"/>
        <w:ind w:left="885"/>
        <w:outlineLvl w:val="1"/>
        <w:rPr>
          <w:rFonts w:hint="eastAsia" w:ascii="方正小标宋简体" w:hAnsi="方正小标宋简体" w:eastAsia="方正小标宋简体" w:cs="方正小标宋简体"/>
          <w:spacing w:val="6"/>
          <w:sz w:val="43"/>
          <w:szCs w:val="43"/>
          <w:lang w:val="en-US" w:eastAsia="zh-CN"/>
        </w:rPr>
      </w:pPr>
    </w:p>
    <w:p>
      <w:pPr>
        <w:spacing w:before="166" w:line="208" w:lineRule="auto"/>
        <w:ind w:left="885"/>
        <w:outlineLvl w:val="1"/>
        <w:rPr>
          <w:rFonts w:hint="eastAsia" w:ascii="方正小标宋简体" w:hAnsi="方正小标宋简体" w:eastAsia="方正小标宋简体" w:cs="方正小标宋简体"/>
          <w:spacing w:val="6"/>
          <w:sz w:val="43"/>
          <w:szCs w:val="43"/>
          <w:lang w:val="en-US" w:eastAsia="zh-CN"/>
        </w:rPr>
      </w:pPr>
    </w:p>
    <w:p>
      <w:pPr>
        <w:spacing w:before="166" w:line="208" w:lineRule="auto"/>
        <w:ind w:left="885"/>
        <w:outlineLvl w:val="1"/>
        <w:rPr>
          <w:rFonts w:hint="eastAsia" w:ascii="方正小标宋简体" w:hAnsi="方正小标宋简体" w:eastAsia="方正小标宋简体" w:cs="方正小标宋简体"/>
          <w:spacing w:val="6"/>
          <w:sz w:val="43"/>
          <w:szCs w:val="43"/>
          <w:lang w:val="en-US" w:eastAsia="zh-CN"/>
        </w:rPr>
      </w:pPr>
    </w:p>
    <w:p>
      <w:pPr>
        <w:spacing w:before="166" w:line="208" w:lineRule="auto"/>
        <w:jc w:val="center"/>
        <w:outlineLvl w:val="1"/>
        <w:rPr>
          <w:rFonts w:ascii="方正小标宋简体" w:hAnsi="方正小标宋简体" w:eastAsia="方正小标宋简体" w:cs="方正小标宋简体"/>
          <w:sz w:val="43"/>
          <w:szCs w:val="43"/>
        </w:rPr>
      </w:pPr>
      <w:r>
        <w:rPr>
          <w:rFonts w:hint="eastAsia" w:ascii="方正小标宋简体" w:hAnsi="方正小标宋简体" w:eastAsia="方正小标宋简体" w:cs="方正小标宋简体"/>
          <w:spacing w:val="6"/>
          <w:sz w:val="43"/>
          <w:szCs w:val="43"/>
          <w:lang w:val="en-US" w:eastAsia="zh-CN"/>
        </w:rPr>
        <w:t>淄博市</w:t>
      </w:r>
      <w:r>
        <w:rPr>
          <w:rFonts w:ascii="方正小标宋简体" w:hAnsi="方正小标宋简体" w:eastAsia="方正小标宋简体" w:cs="方正小标宋简体"/>
          <w:spacing w:val="6"/>
          <w:sz w:val="43"/>
          <w:szCs w:val="43"/>
        </w:rPr>
        <w:t>“规范诊疗提升年”活动</w:t>
      </w:r>
      <w:r>
        <w:rPr>
          <w:rFonts w:hint="eastAsia" w:ascii="方正小标宋简体" w:hAnsi="方正小标宋简体" w:eastAsia="方正小标宋简体" w:cs="方正小标宋简体"/>
          <w:spacing w:val="6"/>
          <w:sz w:val="43"/>
          <w:szCs w:val="43"/>
          <w:lang w:val="en-US" w:eastAsia="zh-CN"/>
        </w:rPr>
        <w:t>实施</w:t>
      </w:r>
      <w:r>
        <w:rPr>
          <w:rFonts w:ascii="方正小标宋简体" w:hAnsi="方正小标宋简体" w:eastAsia="方正小标宋简体" w:cs="方正小标宋简体"/>
          <w:spacing w:val="6"/>
          <w:sz w:val="43"/>
          <w:szCs w:val="43"/>
        </w:rPr>
        <w:t>方案</w:t>
      </w:r>
    </w:p>
    <w:p>
      <w:pPr>
        <w:spacing w:line="290" w:lineRule="auto"/>
        <w:rPr>
          <w:rFonts w:ascii="Arial"/>
          <w:sz w:val="21"/>
        </w:rPr>
      </w:pP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为进一步规范诊疗行为，提升医疗质量，</w:t>
      </w: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山东省“规范诊疗提升年”活动方案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val="en-US" w:eastAsia="zh-CN"/>
        </w:rPr>
        <w:t>结合我市实际制定淄博市</w:t>
      </w:r>
      <w:r>
        <w:rPr>
          <w:rFonts w:hint="eastAsia" w:ascii="仿宋_GB2312" w:hAnsi="仿宋_GB2312" w:eastAsia="仿宋_GB2312" w:cs="仿宋_GB2312"/>
          <w:sz w:val="32"/>
          <w:szCs w:val="32"/>
        </w:rPr>
        <w:t>“规范诊疗提升年”活动</w:t>
      </w:r>
      <w:r>
        <w:rPr>
          <w:rFonts w:hint="eastAsia" w:ascii="仿宋_GB2312" w:hAnsi="仿宋_GB2312" w:eastAsia="仿宋_GB2312" w:cs="仿宋_GB2312"/>
          <w:sz w:val="32"/>
          <w:szCs w:val="32"/>
          <w:lang w:val="en-US" w:eastAsia="zh-CN"/>
        </w:rPr>
        <w:t>实施</w:t>
      </w:r>
      <w:r>
        <w:rPr>
          <w:rFonts w:hint="eastAsia" w:ascii="仿宋_GB2312" w:hAnsi="仿宋_GB2312" w:eastAsia="仿宋_GB2312" w:cs="仿宋_GB2312"/>
          <w:sz w:val="32"/>
          <w:szCs w:val="32"/>
        </w:rPr>
        <w:t>方案。</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落实《医疗质量管理办法》为根本，以严格执行医疗质量安全核心制度为重点，以构建患者安全文化为目标，通过系统化、标准化、信息化的管理手段，推动质量安全和规范诊疗贯穿于医疗活动全链条、全周期，全面规范诊疗行为。到</w:t>
      </w:r>
      <w:r>
        <w:rPr>
          <w:rFonts w:hint="eastAsia" w:ascii="Times New Roman" w:hAnsi="Times New Roman" w:eastAsia="仿宋_GB2312" w:cs="仿宋_GB2312"/>
          <w:sz w:val="32"/>
          <w:szCs w:val="32"/>
        </w:rPr>
        <w:t>2025</w:t>
      </w:r>
      <w:r>
        <w:rPr>
          <w:rFonts w:hint="eastAsia" w:ascii="仿宋_GB2312" w:hAnsi="仿宋_GB2312" w:eastAsia="仿宋_GB2312" w:cs="仿宋_GB2312"/>
          <w:sz w:val="32"/>
          <w:szCs w:val="32"/>
        </w:rPr>
        <w:t>年底，实现医务人员诊疗行为更加规范、科学，医疗质量安全不良事件管理能力显著提升，医疗质量安全管理机制更加高效协同，医疗质量安全核心指标持续优化，患者满意度稳步提高，医疗服务质量和安全水平全面提升。</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二、主要任务</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（一）强化规范诊疗意识。</w:t>
      </w:r>
      <w:r>
        <w:rPr>
          <w:rFonts w:hint="eastAsia" w:ascii="仿宋_GB2312" w:hAnsi="仿宋_GB2312" w:eastAsia="仿宋_GB2312" w:cs="仿宋_GB2312"/>
          <w:sz w:val="32"/>
          <w:szCs w:val="32"/>
        </w:rPr>
        <w:t>明确医疗机构和医务人员在规范诊疗行为、保障医疗质量工作中的主体责任，强化依法执业意识，营造医疗卫生行业重视规范诊疗、支持规范诊疗、实施规范诊疗的良好氛围，切实提升医疗机构和医务人员规范诊疗的自觉性、主动性。</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（二）提升规范诊疗能力。</w:t>
      </w:r>
      <w:r>
        <w:rPr>
          <w:rFonts w:hint="eastAsia" w:ascii="仿宋_GB2312" w:hAnsi="仿宋_GB2312" w:eastAsia="仿宋_GB2312" w:cs="仿宋_GB2312"/>
          <w:sz w:val="32"/>
          <w:szCs w:val="32"/>
        </w:rPr>
        <w:t>推动医疗机构和医务人员严格执行国家诊疗指南、临床技术操作规范、行业标准、合理用药指导原则、临床路径和检查检验结果互认制度等，严格遵循检查、治疗的适应证和禁忌证，规范诊疗操作流程，做到合理检查、合理用药、合理治疗。</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（三）加强规范诊疗监管。</w:t>
      </w:r>
      <w:r>
        <w:rPr>
          <w:rFonts w:hint="eastAsia" w:ascii="仿宋_GB2312" w:hAnsi="仿宋_GB2312" w:eastAsia="仿宋_GB2312" w:cs="仿宋_GB2312"/>
          <w:sz w:val="32"/>
          <w:szCs w:val="32"/>
        </w:rPr>
        <w:t>建立健全诊疗规范落实情况的动态监测和信息化监管机制，实现诊疗行为全程可追溯、质量安全实时可监控。定期开展医疗质量调研抽查评估，强化数据分析与风险预警，定期发布监测报告，推动核心制度和诊疗规范全面落实到位。</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三、工作措施</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（一）进一步完善规范诊疗管理体系</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b/>
          <w:bCs/>
          <w:sz w:val="32"/>
          <w:szCs w:val="32"/>
        </w:rPr>
        <w:t>1</w:t>
      </w:r>
      <w:r>
        <w:rPr>
          <w:rFonts w:hint="eastAsia" w:ascii="仿宋_GB2312" w:hAnsi="仿宋_GB2312" w:eastAsia="仿宋_GB2312" w:cs="仿宋_GB2312"/>
          <w:b/>
          <w:bCs/>
          <w:sz w:val="32"/>
          <w:szCs w:val="32"/>
        </w:rPr>
        <w:t>.持续推进“织网”行动。</w:t>
      </w:r>
      <w:r>
        <w:rPr>
          <w:rFonts w:hint="eastAsia" w:ascii="仿宋_GB2312" w:hAnsi="仿宋_GB2312" w:eastAsia="仿宋_GB2312" w:cs="仿宋_GB2312"/>
          <w:sz w:val="32"/>
          <w:szCs w:val="32"/>
          <w:lang w:val="en-US" w:eastAsia="zh-CN"/>
        </w:rPr>
        <w:t>进一步</w:t>
      </w:r>
      <w:r>
        <w:rPr>
          <w:rFonts w:hint="eastAsia" w:ascii="仿宋_GB2312" w:hAnsi="仿宋_GB2312" w:eastAsia="仿宋_GB2312" w:cs="仿宋_GB2312"/>
          <w:sz w:val="32"/>
          <w:szCs w:val="32"/>
        </w:rPr>
        <w:t>完善市、县质控网络，</w:t>
      </w:r>
      <w:r>
        <w:rPr>
          <w:rFonts w:hint="eastAsia" w:ascii="Times New Roman" w:hAnsi="Times New Roman" w:eastAsia="仿宋_GB2312" w:cs="仿宋_GB2312"/>
          <w:sz w:val="32"/>
          <w:szCs w:val="32"/>
          <w:lang w:val="en-US" w:eastAsia="zh-CN"/>
        </w:rPr>
        <w:t>6</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rPr>
        <w:t>底前</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级质控中心达到</w:t>
      </w:r>
      <w:r>
        <w:rPr>
          <w:rFonts w:hint="eastAsia" w:ascii="Times New Roman" w:hAnsi="Times New Roman" w:eastAsia="仿宋_GB2312" w:cs="仿宋_GB2312"/>
          <w:sz w:val="32"/>
          <w:szCs w:val="32"/>
          <w:lang w:val="en-US" w:eastAsia="zh-CN"/>
        </w:rPr>
        <w:t>50</w:t>
      </w:r>
      <w:r>
        <w:rPr>
          <w:rFonts w:hint="eastAsia" w:ascii="仿宋_GB2312" w:hAnsi="仿宋_GB2312" w:eastAsia="仿宋_GB2312" w:cs="仿宋_GB2312"/>
          <w:sz w:val="32"/>
          <w:szCs w:val="32"/>
        </w:rPr>
        <w:t>个以上，覆盖主要临床专业、重点医疗技术及住院、日间、门（急）诊服务。重点推进心血管疾病、神经系统疾病、肿瘤、麻醉、重症医学、药事管理、医院感染管理、护理等专业质控中心建设，实现</w:t>
      </w:r>
      <w:r>
        <w:rPr>
          <w:rFonts w:hint="eastAsia" w:ascii="仿宋_GB2312" w:hAnsi="仿宋_GB2312" w:eastAsia="仿宋_GB2312" w:cs="仿宋_GB2312"/>
          <w:sz w:val="32"/>
          <w:szCs w:val="32"/>
          <w:lang w:val="en-US" w:eastAsia="zh-CN"/>
        </w:rPr>
        <w:t>区县</w:t>
      </w:r>
      <w:r>
        <w:rPr>
          <w:rFonts w:hint="eastAsia" w:ascii="仿宋_GB2312" w:hAnsi="仿宋_GB2312" w:eastAsia="仿宋_GB2312" w:cs="仿宋_GB2312"/>
          <w:sz w:val="32"/>
          <w:szCs w:val="32"/>
        </w:rPr>
        <w:t>全覆盖，确保重点专业医疗质量同质化提升。</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b/>
          <w:bCs/>
          <w:sz w:val="32"/>
          <w:szCs w:val="32"/>
        </w:rPr>
        <w:t>2</w:t>
      </w:r>
      <w:r>
        <w:rPr>
          <w:rFonts w:hint="eastAsia" w:ascii="仿宋_GB2312" w:hAnsi="仿宋_GB2312" w:eastAsia="仿宋_GB2312" w:cs="仿宋_GB2312"/>
          <w:b/>
          <w:bCs/>
          <w:sz w:val="32"/>
          <w:szCs w:val="32"/>
        </w:rPr>
        <w:t>.充分发挥质控组织作用。</w:t>
      </w:r>
      <w:r>
        <w:rPr>
          <w:rFonts w:hint="eastAsia" w:ascii="仿宋_GB2312" w:hAnsi="仿宋_GB2312" w:eastAsia="仿宋_GB2312" w:cs="仿宋_GB2312"/>
          <w:sz w:val="32"/>
          <w:szCs w:val="32"/>
        </w:rPr>
        <w:t>完善质控中心动态管理机制，建立质控中心工作情况评估体系，</w:t>
      </w:r>
      <w:r>
        <w:rPr>
          <w:rFonts w:hint="eastAsia" w:ascii="仿宋_GB2312" w:hAnsi="仿宋_GB2312" w:eastAsia="仿宋_GB2312" w:cs="仿宋_GB2312"/>
          <w:sz w:val="32"/>
          <w:szCs w:val="32"/>
          <w:lang w:val="en-US" w:eastAsia="zh-CN"/>
        </w:rPr>
        <w:t>每年度</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val="en-US" w:eastAsia="zh-CN"/>
        </w:rPr>
        <w:t>考核</w:t>
      </w:r>
      <w:r>
        <w:rPr>
          <w:rFonts w:hint="eastAsia" w:ascii="仿宋_GB2312" w:hAnsi="仿宋_GB2312" w:eastAsia="仿宋_GB2312" w:cs="仿宋_GB2312"/>
          <w:sz w:val="32"/>
          <w:szCs w:val="32"/>
        </w:rPr>
        <w:t>评价。推动各级质控中心以规范诊疗为核心任务，强化对医疗机构的专业指导和技术支持，为卫生健康行政部门制定政策提供科学依据。</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b/>
          <w:bCs/>
          <w:sz w:val="32"/>
          <w:szCs w:val="32"/>
        </w:rPr>
        <w:t>3</w:t>
      </w:r>
      <w:r>
        <w:rPr>
          <w:rFonts w:hint="eastAsia" w:ascii="仿宋_GB2312" w:hAnsi="仿宋_GB2312" w:eastAsia="仿宋_GB2312" w:cs="仿宋_GB2312"/>
          <w:b/>
          <w:bCs/>
          <w:sz w:val="32"/>
          <w:szCs w:val="32"/>
        </w:rPr>
        <w:t>.切实夯实医院管理责任。</w:t>
      </w:r>
      <w:r>
        <w:rPr>
          <w:rFonts w:hint="eastAsia" w:ascii="仿宋_GB2312" w:hAnsi="仿宋_GB2312" w:eastAsia="仿宋_GB2312" w:cs="仿宋_GB2312"/>
          <w:sz w:val="32"/>
          <w:szCs w:val="32"/>
        </w:rPr>
        <w:t>健全院科两级医疗质量管理体系，二级以上医疗机构规范设立医疗质量管理委员会，每月召开专题会议研究部署规范诊疗行为、提升医疗质量的具体措施。在各业务科室设立医疗质量管理工作小组，指定专人负责日常质控工作，确保诊疗规范和质控措施落实到诊疗活动的各个环节。</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（二）进一步完善规范诊疗管理制度</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b/>
          <w:bCs/>
          <w:sz w:val="32"/>
          <w:szCs w:val="32"/>
        </w:rPr>
        <w:t>4</w:t>
      </w:r>
      <w:r>
        <w:rPr>
          <w:rFonts w:hint="eastAsia" w:ascii="仿宋_GB2312" w:hAnsi="仿宋_GB2312" w:eastAsia="仿宋_GB2312" w:cs="仿宋_GB2312"/>
          <w:b/>
          <w:bCs/>
          <w:sz w:val="32"/>
          <w:szCs w:val="32"/>
        </w:rPr>
        <w:t>.积极探索改进措施。</w:t>
      </w:r>
      <w:r>
        <w:rPr>
          <w:rFonts w:hint="eastAsia" w:ascii="仿宋_GB2312" w:hAnsi="仿宋_GB2312" w:eastAsia="仿宋_GB2312" w:cs="仿宋_GB2312"/>
          <w:sz w:val="32"/>
          <w:szCs w:val="32"/>
          <w:lang w:val="en-US" w:eastAsia="zh-CN"/>
        </w:rPr>
        <w:t>全面落实</w:t>
      </w:r>
      <w:r>
        <w:rPr>
          <w:rFonts w:hint="eastAsia" w:ascii="仿宋_GB2312" w:hAnsi="仿宋_GB2312" w:eastAsia="仿宋_GB2312" w:cs="仿宋_GB2312"/>
          <w:sz w:val="32"/>
          <w:szCs w:val="32"/>
        </w:rPr>
        <w:t>《进一步规范诊疗行为提升医疗质量十条措施》及工作配档表。重点推动日间医疗服务、多学科协作诊疗（</w:t>
      </w:r>
      <w:r>
        <w:rPr>
          <w:rFonts w:hint="eastAsia" w:ascii="Times New Roman" w:hAnsi="Times New Roman" w:eastAsia="仿宋_GB2312" w:cs="仿宋_GB2312"/>
          <w:sz w:val="32"/>
          <w:szCs w:val="32"/>
        </w:rPr>
        <w:t>MDT</w:t>
      </w:r>
      <w:r>
        <w:rPr>
          <w:rFonts w:hint="eastAsia" w:ascii="仿宋_GB2312" w:hAnsi="仿宋_GB2312" w:eastAsia="仿宋_GB2312" w:cs="仿宋_GB2312"/>
          <w:sz w:val="32"/>
          <w:szCs w:val="32"/>
        </w:rPr>
        <w:t>）、检查检验结果互认、重点技术管理等措施落实。</w:t>
      </w:r>
      <w:r>
        <w:rPr>
          <w:rFonts w:hint="eastAsia" w:ascii="仿宋_GB2312" w:hAnsi="仿宋_GB2312" w:eastAsia="仿宋_GB2312" w:cs="仿宋_GB2312"/>
          <w:sz w:val="32"/>
          <w:szCs w:val="32"/>
          <w:lang w:val="en-US" w:eastAsia="zh-CN"/>
        </w:rPr>
        <w:t>市、区县要</w:t>
      </w:r>
      <w:r>
        <w:rPr>
          <w:rFonts w:hint="eastAsia" w:ascii="仿宋_GB2312" w:hAnsi="仿宋_GB2312" w:eastAsia="仿宋_GB2312" w:cs="仿宋_GB2312"/>
          <w:sz w:val="32"/>
          <w:szCs w:val="32"/>
        </w:rPr>
        <w:t>结合实际，摸清基线数据，明确改进目标，细化责任分工，建立监测评估机制，确保各项措施有效落实。</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b/>
          <w:bCs/>
          <w:sz w:val="32"/>
          <w:szCs w:val="32"/>
        </w:rPr>
        <w:t>5</w:t>
      </w:r>
      <w:r>
        <w:rPr>
          <w:rFonts w:hint="eastAsia" w:ascii="仿宋_GB2312" w:hAnsi="仿宋_GB2312" w:eastAsia="仿宋_GB2312" w:cs="仿宋_GB2312"/>
          <w:b/>
          <w:bCs/>
          <w:sz w:val="32"/>
          <w:szCs w:val="32"/>
        </w:rPr>
        <w:t>.建立管理长效机制。</w:t>
      </w:r>
      <w:r>
        <w:rPr>
          <w:rFonts w:hint="eastAsia" w:ascii="仿宋_GB2312" w:hAnsi="仿宋_GB2312" w:eastAsia="仿宋_GB2312" w:cs="仿宋_GB2312"/>
          <w:sz w:val="32"/>
          <w:szCs w:val="32"/>
        </w:rPr>
        <w:t>各级各类医疗机构将“十条措施”全面融入日常诊疗活动，结合实际情况完善制度建设，重点加强检查、用药、治疗等关键环节管理。推动建立规范诊疗的长效机制，通过教育培训、绩效考核、激励机制等方式，引导医务人员树立规范诊疗意识，形成规范诊疗行动自觉。</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b/>
          <w:bCs/>
          <w:sz w:val="32"/>
          <w:szCs w:val="32"/>
        </w:rPr>
        <w:t>6</w:t>
      </w:r>
      <w:r>
        <w:rPr>
          <w:rFonts w:hint="eastAsia" w:ascii="仿宋_GB2312" w:hAnsi="仿宋_GB2312" w:eastAsia="仿宋_GB2312" w:cs="仿宋_GB2312"/>
          <w:b/>
          <w:bCs/>
          <w:sz w:val="32"/>
          <w:szCs w:val="32"/>
        </w:rPr>
        <w:t>.完善诊疗规范、标准。</w:t>
      </w:r>
      <w:r>
        <w:rPr>
          <w:rFonts w:hint="eastAsia" w:ascii="仿宋_GB2312" w:hAnsi="仿宋_GB2312" w:eastAsia="仿宋_GB2312" w:cs="仿宋_GB2312"/>
          <w:sz w:val="32"/>
          <w:szCs w:val="32"/>
          <w:lang w:val="en-US" w:eastAsia="zh-CN"/>
        </w:rPr>
        <w:t>各级卫生健康行政部门</w:t>
      </w:r>
      <w:r>
        <w:rPr>
          <w:rFonts w:hint="eastAsia" w:ascii="仿宋_GB2312" w:hAnsi="仿宋_GB2312" w:eastAsia="仿宋_GB2312" w:cs="仿宋_GB2312"/>
          <w:sz w:val="32"/>
          <w:szCs w:val="32"/>
        </w:rPr>
        <w:t>组织、指导相应专业质控中心、医疗行业学（协）会和具备条件的医疗机构，加强质量安全改进策略和专业技术研究。依据国家诊疗规范、指南和行业标准，制定一批符合本地区、本专业实际的技术标准、操作规范和专家共识。推广适宜诊疗技术，强化临床路径管理，推动诊疗行为标准化、规范化、同质化。</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（三）进一步提升规范诊疗服务能力</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b w:val="0"/>
          <w:bCs w:val="0"/>
          <w:color w:val="auto"/>
          <w:sz w:val="32"/>
          <w:szCs w:val="32"/>
        </w:rPr>
      </w:pPr>
      <w:r>
        <w:rPr>
          <w:rFonts w:hint="eastAsia" w:ascii="Times New Roman" w:hAnsi="Times New Roman" w:eastAsia="仿宋_GB2312" w:cs="仿宋_GB2312"/>
          <w:b/>
          <w:bCs/>
          <w:sz w:val="32"/>
          <w:szCs w:val="32"/>
        </w:rPr>
        <w:t>7</w:t>
      </w:r>
      <w:r>
        <w:rPr>
          <w:rFonts w:hint="eastAsia" w:ascii="仿宋_GB2312" w:hAnsi="仿宋_GB2312" w:eastAsia="仿宋_GB2312" w:cs="仿宋_GB2312"/>
          <w:b/>
          <w:bCs/>
          <w:sz w:val="32"/>
          <w:szCs w:val="32"/>
        </w:rPr>
        <w:t>.开展“规范诊疗大讲堂”活动。</w:t>
      </w:r>
      <w:r>
        <w:rPr>
          <w:rFonts w:hint="eastAsia" w:ascii="仿宋_GB2312" w:hAnsi="仿宋_GB2312" w:eastAsia="仿宋_GB2312" w:cs="仿宋_GB2312"/>
          <w:b w:val="0"/>
          <w:bCs w:val="0"/>
          <w:color w:val="auto"/>
          <w:sz w:val="32"/>
          <w:szCs w:val="32"/>
          <w:lang w:val="en-US" w:eastAsia="zh-CN"/>
        </w:rPr>
        <w:t>组织</w:t>
      </w:r>
      <w:r>
        <w:rPr>
          <w:rFonts w:hint="eastAsia" w:ascii="仿宋_GB2312" w:hAnsi="仿宋_GB2312" w:eastAsia="仿宋_GB2312" w:cs="仿宋_GB2312"/>
          <w:b w:val="0"/>
          <w:bCs w:val="0"/>
          <w:color w:val="auto"/>
          <w:sz w:val="32"/>
          <w:szCs w:val="32"/>
        </w:rPr>
        <w:t>全</w:t>
      </w:r>
      <w:r>
        <w:rPr>
          <w:rFonts w:hint="eastAsia" w:ascii="仿宋_GB2312" w:hAnsi="仿宋_GB2312" w:eastAsia="仿宋_GB2312" w:cs="仿宋_GB2312"/>
          <w:b w:val="0"/>
          <w:bCs w:val="0"/>
          <w:color w:val="auto"/>
          <w:sz w:val="32"/>
          <w:szCs w:val="32"/>
          <w:lang w:val="en-US" w:eastAsia="zh-CN"/>
        </w:rPr>
        <w:t>市</w:t>
      </w:r>
      <w:r>
        <w:rPr>
          <w:rFonts w:hint="eastAsia" w:ascii="仿宋_GB2312" w:hAnsi="仿宋_GB2312" w:eastAsia="仿宋_GB2312" w:cs="仿宋_GB2312"/>
          <w:b w:val="0"/>
          <w:bCs w:val="0"/>
          <w:color w:val="auto"/>
          <w:sz w:val="32"/>
          <w:szCs w:val="32"/>
        </w:rPr>
        <w:t>各级各类医疗机构及相关专业医务人员</w:t>
      </w:r>
      <w:r>
        <w:rPr>
          <w:rFonts w:hint="eastAsia" w:ascii="仿宋_GB2312" w:hAnsi="仿宋_GB2312" w:eastAsia="仿宋_GB2312" w:cs="仿宋_GB2312"/>
          <w:b w:val="0"/>
          <w:bCs w:val="0"/>
          <w:color w:val="auto"/>
          <w:sz w:val="32"/>
          <w:szCs w:val="32"/>
          <w:lang w:val="en-US" w:eastAsia="zh-CN"/>
        </w:rPr>
        <w:t>积极参与省卫</w:t>
      </w:r>
      <w:r>
        <w:rPr>
          <w:rFonts w:hint="eastAsia" w:ascii="仿宋_GB2312" w:hAnsi="仿宋_GB2312" w:eastAsia="仿宋_GB2312" w:cs="仿宋_GB2312"/>
          <w:b w:val="0"/>
          <w:bCs w:val="0"/>
          <w:color w:val="auto"/>
          <w:sz w:val="32"/>
          <w:szCs w:val="32"/>
        </w:rPr>
        <w:t>生健康委</w:t>
      </w:r>
      <w:r>
        <w:rPr>
          <w:rFonts w:hint="eastAsia" w:ascii="仿宋_GB2312" w:hAnsi="仿宋_GB2312" w:eastAsia="仿宋_GB2312" w:cs="仿宋_GB2312"/>
          <w:b w:val="0"/>
          <w:bCs w:val="0"/>
          <w:color w:val="auto"/>
          <w:sz w:val="32"/>
          <w:szCs w:val="32"/>
          <w:lang w:val="en-US" w:eastAsia="zh-CN"/>
        </w:rPr>
        <w:t>组织的</w:t>
      </w:r>
      <w:r>
        <w:rPr>
          <w:rFonts w:hint="eastAsia" w:ascii="仿宋_GB2312" w:hAnsi="仿宋_GB2312" w:eastAsia="仿宋_GB2312" w:cs="仿宋_GB2312"/>
          <w:b w:val="0"/>
          <w:bCs w:val="0"/>
          <w:color w:val="auto"/>
          <w:sz w:val="32"/>
          <w:szCs w:val="32"/>
        </w:rPr>
        <w:t>以“十条措施”为核心内容</w:t>
      </w:r>
      <w:r>
        <w:rPr>
          <w:rFonts w:hint="eastAsia" w:ascii="仿宋_GB2312" w:hAnsi="仿宋_GB2312" w:eastAsia="仿宋_GB2312" w:cs="仿宋_GB2312"/>
          <w:b w:val="0"/>
          <w:bCs w:val="0"/>
          <w:color w:val="auto"/>
          <w:sz w:val="32"/>
          <w:szCs w:val="32"/>
          <w:lang w:val="en-US" w:eastAsia="zh-CN"/>
        </w:rPr>
        <w:t>的</w:t>
      </w:r>
      <w:r>
        <w:rPr>
          <w:rFonts w:hint="eastAsia" w:ascii="仿宋_GB2312" w:hAnsi="仿宋_GB2312" w:eastAsia="仿宋_GB2312" w:cs="仿宋_GB2312"/>
          <w:b w:val="0"/>
          <w:bCs w:val="0"/>
          <w:color w:val="auto"/>
          <w:sz w:val="32"/>
          <w:szCs w:val="32"/>
        </w:rPr>
        <w:t>线上</w:t>
      </w:r>
      <w:r>
        <w:rPr>
          <w:rFonts w:hint="eastAsia" w:ascii="仿宋_GB2312" w:hAnsi="仿宋_GB2312" w:eastAsia="仿宋_GB2312" w:cs="仿宋_GB2312"/>
          <w:b w:val="0"/>
          <w:bCs w:val="0"/>
          <w:color w:val="auto"/>
          <w:sz w:val="32"/>
          <w:szCs w:val="32"/>
          <w:lang w:val="en-US" w:eastAsia="zh-CN"/>
        </w:rPr>
        <w:t>讲堂</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通过专家授课、典型案例分享、经验交流等形式，普及规范诊疗知识，解读政策要求，推广先进做法，推动“十条措施”</w:t>
      </w:r>
      <w:r>
        <w:rPr>
          <w:rFonts w:hint="eastAsia" w:ascii="仿宋_GB2312" w:hAnsi="仿宋_GB2312" w:eastAsia="仿宋_GB2312" w:cs="仿宋_GB2312"/>
          <w:b w:val="0"/>
          <w:bCs w:val="0"/>
          <w:color w:val="auto"/>
          <w:sz w:val="32"/>
          <w:szCs w:val="32"/>
          <w:lang w:val="en-US" w:eastAsia="zh-CN"/>
        </w:rPr>
        <w:t>全部</w:t>
      </w:r>
      <w:r>
        <w:rPr>
          <w:rFonts w:hint="eastAsia" w:ascii="仿宋_GB2312" w:hAnsi="仿宋_GB2312" w:eastAsia="仿宋_GB2312" w:cs="仿宋_GB2312"/>
          <w:b w:val="0"/>
          <w:bCs w:val="0"/>
          <w:color w:val="auto"/>
          <w:sz w:val="32"/>
          <w:szCs w:val="32"/>
        </w:rPr>
        <w:t>落地实施。</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b/>
          <w:bCs/>
          <w:sz w:val="32"/>
          <w:szCs w:val="32"/>
        </w:rPr>
        <w:t>8</w:t>
      </w:r>
      <w:r>
        <w:rPr>
          <w:rFonts w:hint="eastAsia" w:ascii="仿宋_GB2312" w:hAnsi="仿宋_GB2312" w:eastAsia="仿宋_GB2312" w:cs="仿宋_GB2312"/>
          <w:b/>
          <w:bCs/>
          <w:sz w:val="32"/>
          <w:szCs w:val="32"/>
        </w:rPr>
        <w:t>.抓好医疗质量常规培训。</w:t>
      </w:r>
      <w:r>
        <w:rPr>
          <w:rFonts w:hint="eastAsia" w:ascii="仿宋_GB2312" w:hAnsi="仿宋_GB2312" w:eastAsia="仿宋_GB2312" w:cs="仿宋_GB2312"/>
          <w:b w:val="0"/>
          <w:bCs w:val="0"/>
          <w:sz w:val="32"/>
          <w:szCs w:val="32"/>
          <w:lang w:val="en-US" w:eastAsia="zh-CN"/>
        </w:rPr>
        <w:t>市、区县卫生健康行政部门和</w:t>
      </w:r>
      <w:r>
        <w:rPr>
          <w:rFonts w:hint="eastAsia" w:ascii="仿宋_GB2312" w:hAnsi="仿宋_GB2312" w:eastAsia="仿宋_GB2312" w:cs="仿宋_GB2312"/>
          <w:b w:val="0"/>
          <w:bCs w:val="0"/>
          <w:sz w:val="32"/>
          <w:szCs w:val="32"/>
        </w:rPr>
        <w:t>医疗机构</w:t>
      </w:r>
      <w:r>
        <w:rPr>
          <w:rFonts w:hint="eastAsia" w:ascii="仿宋_GB2312" w:hAnsi="仿宋_GB2312" w:eastAsia="仿宋_GB2312" w:cs="仿宋_GB2312"/>
          <w:b w:val="0"/>
          <w:bCs w:val="0"/>
          <w:sz w:val="32"/>
          <w:szCs w:val="32"/>
          <w:lang w:val="en-US" w:eastAsia="zh-CN"/>
        </w:rPr>
        <w:t>要</w:t>
      </w:r>
      <w:r>
        <w:rPr>
          <w:rFonts w:hint="eastAsia" w:ascii="仿宋_GB2312" w:hAnsi="仿宋_GB2312" w:eastAsia="仿宋_GB2312" w:cs="仿宋_GB2312"/>
          <w:b w:val="0"/>
          <w:bCs w:val="0"/>
          <w:sz w:val="32"/>
          <w:szCs w:val="32"/>
        </w:rPr>
        <w:t>将规范诊疗内容纳入入职培训、继续教育、“三基三严”培训等常规培训体系。</w:t>
      </w:r>
      <w:r>
        <w:rPr>
          <w:rFonts w:hint="eastAsia" w:ascii="仿宋_GB2312" w:hAnsi="仿宋_GB2312" w:eastAsia="仿宋_GB2312" w:cs="仿宋_GB2312"/>
          <w:sz w:val="32"/>
          <w:szCs w:val="32"/>
        </w:rPr>
        <w:t>定期开展医疗卫生管理法律法规、医院管理制度、医疗质量管理与控制方法、诊疗指南、技术</w:t>
      </w:r>
      <w:r>
        <w:rPr>
          <w:rFonts w:hint="eastAsia" w:ascii="仿宋_GB2312" w:hAnsi="仿宋_GB2312" w:eastAsia="仿宋_GB2312" w:cs="仿宋_GB2312"/>
          <w:sz w:val="32"/>
          <w:szCs w:val="32"/>
          <w:lang w:val="en-US" w:eastAsia="zh-CN"/>
        </w:rPr>
        <w:t>操作</w:t>
      </w:r>
      <w:r>
        <w:rPr>
          <w:rFonts w:hint="eastAsia" w:ascii="仿宋_GB2312" w:hAnsi="仿宋_GB2312" w:eastAsia="仿宋_GB2312" w:cs="仿宋_GB2312"/>
          <w:sz w:val="32"/>
          <w:szCs w:val="32"/>
        </w:rPr>
        <w:t>规范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卫生行业标准、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医学伦理规范</w:t>
      </w:r>
      <w:r>
        <w:rPr>
          <w:rFonts w:hint="eastAsia" w:ascii="仿宋_GB2312" w:hAnsi="仿宋_GB2312" w:eastAsia="仿宋_GB2312" w:cs="仿宋_GB2312"/>
          <w:sz w:val="32"/>
          <w:szCs w:val="32"/>
        </w:rPr>
        <w:t>等内容的培训与考核。结合重点病例和死亡病例点评，组织开展医疗质量“大学习、大讨论、大点评”活动，强化医务人员质量安全意识，提升诊疗规范依从性。</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b/>
          <w:bCs/>
          <w:sz w:val="32"/>
          <w:szCs w:val="32"/>
        </w:rPr>
        <w:t>9</w:t>
      </w:r>
      <w:r>
        <w:rPr>
          <w:rFonts w:hint="eastAsia" w:ascii="仿宋_GB2312" w:hAnsi="仿宋_GB2312" w:eastAsia="仿宋_GB2312" w:cs="仿宋_GB2312"/>
          <w:b/>
          <w:bCs/>
          <w:sz w:val="32"/>
          <w:szCs w:val="32"/>
        </w:rPr>
        <w:t>.推动规范诊疗制度落地。</w:t>
      </w:r>
      <w:r>
        <w:rPr>
          <w:rFonts w:hint="eastAsia" w:ascii="仿宋_GB2312" w:hAnsi="仿宋_GB2312" w:eastAsia="仿宋_GB2312" w:cs="仿宋_GB2312"/>
          <w:sz w:val="32"/>
          <w:szCs w:val="32"/>
        </w:rPr>
        <w:t>医务人员要根据患者病情，合理选择检查项目，严格依据临床诊断开具与病情相符的药物，避免过度检查和不必要检查，杜绝无适应症用药。要严格按照技术规范和操作规范开展诊疗活动，严禁开展禁止类技术，规范限制类技术的临床应用。医疗机构要</w:t>
      </w:r>
      <w:r>
        <w:rPr>
          <w:rFonts w:hint="eastAsia" w:ascii="仿宋_GB2312" w:hAnsi="仿宋_GB2312" w:eastAsia="仿宋_GB2312" w:cs="仿宋_GB2312"/>
          <w:sz w:val="32"/>
          <w:szCs w:val="32"/>
          <w:lang w:val="en-US" w:eastAsia="zh-CN"/>
        </w:rPr>
        <w:t>持续</w:t>
      </w:r>
      <w:r>
        <w:rPr>
          <w:rFonts w:hint="eastAsia" w:ascii="仿宋_GB2312" w:hAnsi="仿宋_GB2312" w:eastAsia="仿宋_GB2312" w:cs="仿宋_GB2312"/>
          <w:sz w:val="32"/>
          <w:szCs w:val="32"/>
        </w:rPr>
        <w:t>加强诊疗行为全程监管，建立问题发现与整改机制，及时纠正不规范行为，确保诊疗质量安全。</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（四）进一步强化规范诊疗</w:t>
      </w:r>
      <w:r>
        <w:rPr>
          <w:rFonts w:hint="eastAsia" w:ascii="楷体_GB2312" w:hAnsi="楷体_GB2312" w:eastAsia="楷体_GB2312" w:cs="楷体_GB2312"/>
          <w:sz w:val="32"/>
          <w:szCs w:val="32"/>
          <w:lang w:val="en-US" w:eastAsia="zh-CN"/>
        </w:rPr>
        <w:t>的</w:t>
      </w:r>
      <w:r>
        <w:rPr>
          <w:rFonts w:hint="eastAsia" w:ascii="楷体_GB2312" w:hAnsi="楷体_GB2312" w:eastAsia="楷体_GB2312" w:cs="楷体_GB2312"/>
          <w:sz w:val="32"/>
          <w:szCs w:val="32"/>
        </w:rPr>
        <w:t>信息化监测</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b/>
          <w:bCs/>
          <w:sz w:val="32"/>
          <w:szCs w:val="32"/>
        </w:rPr>
        <w:t>10</w:t>
      </w:r>
      <w:r>
        <w:rPr>
          <w:rFonts w:hint="eastAsia" w:ascii="仿宋_GB2312" w:hAnsi="仿宋_GB2312" w:eastAsia="仿宋_GB2312" w:cs="仿宋_GB2312"/>
          <w:b/>
          <w:bCs/>
          <w:sz w:val="32"/>
          <w:szCs w:val="32"/>
        </w:rPr>
        <w:t>.全面实施核心制度信息化监测。</w:t>
      </w:r>
      <w:r>
        <w:rPr>
          <w:rFonts w:hint="eastAsia" w:ascii="仿宋_GB2312" w:hAnsi="仿宋_GB2312" w:eastAsia="仿宋_GB2312" w:cs="仿宋_GB2312"/>
          <w:sz w:val="32"/>
          <w:szCs w:val="32"/>
          <w:lang w:val="en-US" w:eastAsia="zh-CN"/>
        </w:rPr>
        <w:t>各级卫生健康行政部门</w:t>
      </w:r>
      <w:r>
        <w:rPr>
          <w:rFonts w:hint="eastAsia" w:ascii="仿宋_GB2312" w:hAnsi="仿宋_GB2312" w:eastAsia="仿宋_GB2312" w:cs="仿宋_GB2312"/>
          <w:sz w:val="32"/>
          <w:szCs w:val="32"/>
        </w:rPr>
        <w:t>要指导医疗机构加快电子病历、智慧服务、智慧管理“三位一体”的智慧医院建设，强化门（急）诊诊疗信息及死亡、非医嘱离院等数据的上报与管理。围绕医疗质量安全事件、行政处罚、医疗事故、诉讼等负性事件，建立信息化监测机制，在二级以上公立医院全面实施核心制度信息化监测评估，实现医疗质量和规范管理全程可追溯、可分析、可预警。</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Times New Roman" w:hAnsi="Times New Roman" w:eastAsia="仿宋_GB2312" w:cs="仿宋_GB2312"/>
          <w:b/>
          <w:bCs/>
          <w:sz w:val="32"/>
          <w:szCs w:val="32"/>
        </w:rPr>
        <w:t>11</w:t>
      </w:r>
      <w:r>
        <w:rPr>
          <w:rFonts w:hint="eastAsia" w:ascii="仿宋_GB2312" w:hAnsi="仿宋_GB2312" w:eastAsia="仿宋_GB2312" w:cs="仿宋_GB2312"/>
          <w:b/>
          <w:bCs/>
          <w:sz w:val="32"/>
          <w:szCs w:val="32"/>
        </w:rPr>
        <w:t>.实施病案首页医疗数据质量提升专项行动。</w:t>
      </w:r>
      <w:r>
        <w:rPr>
          <w:rFonts w:hint="eastAsia" w:ascii="仿宋_GB2312" w:hAnsi="仿宋_GB2312" w:eastAsia="仿宋_GB2312" w:cs="仿宋_GB2312"/>
          <w:color w:val="auto"/>
          <w:sz w:val="32"/>
          <w:szCs w:val="32"/>
        </w:rPr>
        <w:t>各级各类医疗机构</w:t>
      </w:r>
      <w:r>
        <w:rPr>
          <w:rFonts w:hint="eastAsia" w:ascii="仿宋_GB2312" w:hAnsi="仿宋_GB2312" w:eastAsia="仿宋_GB2312" w:cs="仿宋_GB2312"/>
          <w:color w:val="auto"/>
          <w:sz w:val="32"/>
          <w:szCs w:val="32"/>
          <w:lang w:val="en-US" w:eastAsia="zh-CN"/>
        </w:rPr>
        <w:t>要根据病案首页填报指南，</w:t>
      </w:r>
      <w:r>
        <w:rPr>
          <w:rFonts w:hint="eastAsia" w:ascii="仿宋_GB2312" w:hAnsi="仿宋_GB2312" w:eastAsia="仿宋_GB2312" w:cs="仿宋_GB2312"/>
          <w:color w:val="auto"/>
          <w:sz w:val="32"/>
          <w:szCs w:val="32"/>
        </w:rPr>
        <w:t>制定本机构病案首页填报工作规范，加强填报人员培训和质量审核，切实提升病案首页数据的准确性、完整性和规范性。</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b/>
          <w:bCs/>
          <w:sz w:val="32"/>
          <w:szCs w:val="32"/>
        </w:rPr>
        <w:t>12</w:t>
      </w:r>
      <w:r>
        <w:rPr>
          <w:rFonts w:hint="eastAsia" w:ascii="仿宋_GB2312" w:hAnsi="仿宋_GB2312" w:eastAsia="仿宋_GB2312" w:cs="仿宋_GB2312"/>
          <w:b/>
          <w:bCs/>
          <w:sz w:val="32"/>
          <w:szCs w:val="32"/>
        </w:rPr>
        <w:t>.积极推动人工智能在规范诊疗领域使用推广。</w:t>
      </w:r>
      <w:r>
        <w:rPr>
          <w:rFonts w:hint="eastAsia" w:ascii="仿宋_GB2312" w:hAnsi="仿宋_GB2312" w:eastAsia="仿宋_GB2312" w:cs="仿宋_GB2312"/>
          <w:sz w:val="32"/>
          <w:szCs w:val="32"/>
        </w:rPr>
        <w:t>鼓励医疗机构运用大数据、人工智能等技术，对病历书写、诊疗行为进行智能化监测与预警，规避医疗风险。定期总结相关医院的探索试点经验，对成熟的技术和管理模式进行推广，推动人工智能技术在规范诊疗中的深度应用。</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（五）进一步强化规范诊疗监督管理</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b/>
          <w:bCs/>
          <w:sz w:val="32"/>
          <w:szCs w:val="32"/>
        </w:rPr>
        <w:t>13</w:t>
      </w:r>
      <w:r>
        <w:rPr>
          <w:rFonts w:hint="eastAsia" w:ascii="仿宋_GB2312" w:hAnsi="仿宋_GB2312" w:eastAsia="仿宋_GB2312" w:cs="仿宋_GB2312"/>
          <w:b/>
          <w:bCs/>
          <w:sz w:val="32"/>
          <w:szCs w:val="32"/>
        </w:rPr>
        <w:t>.扎实做好规范诊疗调研抽查。</w:t>
      </w:r>
      <w:r>
        <w:rPr>
          <w:rFonts w:hint="eastAsia" w:ascii="仿宋_GB2312" w:hAnsi="仿宋_GB2312" w:eastAsia="仿宋_GB2312" w:cs="仿宋_GB2312"/>
          <w:sz w:val="32"/>
          <w:szCs w:val="32"/>
          <w:lang w:val="en-US" w:eastAsia="zh-CN"/>
        </w:rPr>
        <w:t>各级卫生健康行政部门</w:t>
      </w:r>
      <w:r>
        <w:rPr>
          <w:rFonts w:hint="eastAsia" w:ascii="仿宋_GB2312" w:hAnsi="仿宋_GB2312" w:eastAsia="仿宋_GB2312" w:cs="仿宋_GB2312"/>
          <w:sz w:val="32"/>
          <w:szCs w:val="32"/>
        </w:rPr>
        <w:t>在医院评审工作中，将诊疗行为规范性作为重点核查内容，组织开展医疗质量调研抽查、“三规范”专项检查以及限制类技术临床应用核查等专项活动。强化对医疗机构诊疗行为和医疗过程的动态监管，及时发现并纠正不规范行为，确保医疗质量安全。</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b/>
          <w:bCs/>
          <w:sz w:val="32"/>
          <w:szCs w:val="32"/>
        </w:rPr>
        <w:t>14</w:t>
      </w:r>
      <w:r>
        <w:rPr>
          <w:rFonts w:hint="eastAsia" w:ascii="仿宋_GB2312" w:hAnsi="仿宋_GB2312" w:eastAsia="仿宋_GB2312" w:cs="仿宋_GB2312"/>
          <w:b/>
          <w:bCs/>
          <w:sz w:val="32"/>
          <w:szCs w:val="32"/>
        </w:rPr>
        <w:t>.全面建立医疗质量管理“三个闭环”。</w:t>
      </w:r>
      <w:r>
        <w:rPr>
          <w:rFonts w:hint="eastAsia" w:ascii="仿宋_GB2312" w:hAnsi="仿宋_GB2312" w:eastAsia="仿宋_GB2312" w:cs="仿宋_GB2312"/>
          <w:sz w:val="32"/>
          <w:szCs w:val="32"/>
          <w:lang w:val="en-US" w:eastAsia="zh-CN"/>
        </w:rPr>
        <w:t>各级卫生健康行政部门</w:t>
      </w:r>
      <w:r>
        <w:rPr>
          <w:rFonts w:hint="eastAsia" w:ascii="仿宋_GB2312" w:hAnsi="仿宋_GB2312" w:eastAsia="仿宋_GB2312" w:cs="仿宋_GB2312"/>
          <w:sz w:val="32"/>
          <w:szCs w:val="32"/>
        </w:rPr>
        <w:t>要完善医疗质量检查、病例质量评价、医疗质量安全事件信息报告三个管理闭环，形成“检查—评价—整改—提升”的完整管理链条。通过医疗质量安全警示、典型病例“复盘行动”等措施，对诊疗规范性等医疗质量问题进行深入分析、追踪整改，推动医疗质量持续改进。</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b/>
          <w:bCs/>
          <w:sz w:val="32"/>
          <w:szCs w:val="32"/>
        </w:rPr>
        <w:t>15</w:t>
      </w:r>
      <w:r>
        <w:rPr>
          <w:rFonts w:hint="eastAsia" w:ascii="仿宋_GB2312" w:hAnsi="仿宋_GB2312" w:eastAsia="仿宋_GB2312" w:cs="仿宋_GB2312"/>
          <w:b/>
          <w:bCs/>
          <w:sz w:val="32"/>
          <w:szCs w:val="32"/>
        </w:rPr>
        <w:t>.完善医疗质量管理协同联动机制。</w:t>
      </w:r>
      <w:r>
        <w:rPr>
          <w:rFonts w:hint="eastAsia" w:ascii="仿宋_GB2312" w:hAnsi="仿宋_GB2312" w:eastAsia="仿宋_GB2312" w:cs="仿宋_GB2312"/>
          <w:sz w:val="32"/>
          <w:szCs w:val="32"/>
          <w:lang w:val="en-US" w:eastAsia="zh-CN"/>
        </w:rPr>
        <w:t>各级卫生健康行政部门</w:t>
      </w:r>
      <w:r>
        <w:rPr>
          <w:rFonts w:hint="eastAsia" w:ascii="仿宋_GB2312" w:hAnsi="仿宋_GB2312" w:eastAsia="仿宋_GB2312" w:cs="仿宋_GB2312"/>
          <w:sz w:val="32"/>
          <w:szCs w:val="32"/>
        </w:rPr>
        <w:t>要建立与医保部门的协同联动机制，开展医疗机构医疗保障基金合理使用专项行动，形成医疗质量与医保管理的监管合力。组织开展“民营医院管理年”活动，重点提升民营医院规范诊疗管理水平，推动民营医院与公立医院医疗质量同质化发展。</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四、强化组织落实</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各级卫生健康行政部门、各</w:t>
      </w:r>
      <w:r>
        <w:rPr>
          <w:rFonts w:hint="eastAsia" w:ascii="仿宋_GB2312" w:hAnsi="仿宋_GB2312" w:eastAsia="仿宋_GB2312" w:cs="仿宋_GB2312"/>
          <w:sz w:val="32"/>
          <w:szCs w:val="32"/>
        </w:rPr>
        <w:t>医疗机构要充分认识规范诊疗行为对推动医院高质量发展、维护患者健康权益的重要意义，切实加强组织领导，明确责任分工，细化工作措施，确保各项任务落到实处。</w:t>
      </w:r>
      <w:r>
        <w:rPr>
          <w:rFonts w:hint="eastAsia" w:ascii="仿宋_GB2312" w:hAnsi="仿宋_GB2312" w:eastAsia="仿宋_GB2312" w:cs="仿宋_GB2312"/>
          <w:sz w:val="32"/>
          <w:szCs w:val="32"/>
          <w:lang w:val="en-US" w:eastAsia="zh-CN"/>
        </w:rPr>
        <w:t>各级卫生健康行政部门</w:t>
      </w:r>
      <w:r>
        <w:rPr>
          <w:rFonts w:hint="eastAsia" w:ascii="仿宋_GB2312" w:hAnsi="仿宋_GB2312" w:eastAsia="仿宋_GB2312" w:cs="仿宋_GB2312"/>
          <w:sz w:val="32"/>
          <w:szCs w:val="32"/>
        </w:rPr>
        <w:t>要压实医疗机构主体责任，强化监督指导，建立定期调度机制，对工作不力、进展缓慢的医疗机构开展专项调研和重点指导。各医疗机构要结合实际，围绕日常管理和诊疗工作中是否遵循法律法规、规章制度、诊疗规范等，深入开展“大学习、大讨论、大点评”活动，广泛宣传规范诊疗的重要性和具体要求，营造全员参与、全员践行的良好氛围，推动医务人员形成医疗质量规范管理的思想自觉和行动自觉，全面提升医疗服务质量与安全水平。</w:t>
      </w:r>
    </w:p>
    <w:p>
      <w:pPr>
        <w:pStyle w:val="5"/>
        <w:rPr>
          <w:rFonts w:hint="eastAsia" w:ascii="仿宋_GB2312" w:hAnsi="仿宋_GB2312" w:eastAsia="仿宋_GB2312" w:cs="仿宋_GB2312"/>
          <w:sz w:val="32"/>
          <w:szCs w:val="32"/>
          <w:lang w:val="en-US" w:eastAsia="zh-CN"/>
        </w:rPr>
      </w:pPr>
    </w:p>
    <w:p>
      <w:pPr>
        <w:pStyle w:val="5"/>
        <w:ind w:firstLine="640" w:firstLineChars="200"/>
        <w:rPr>
          <w:rFonts w:hint="eastAsia" w:ascii="仿宋_GB2312" w:hAnsi="仿宋_GB2312" w:eastAsia="仿宋_GB2312" w:cs="仿宋_GB2312"/>
          <w:spacing w:val="-23"/>
          <w:sz w:val="32"/>
          <w:szCs w:val="32"/>
        </w:rPr>
      </w:pPr>
      <w:r>
        <w:rPr>
          <w:rFonts w:hint="eastAsia" w:ascii="仿宋_GB2312" w:hAnsi="仿宋_GB2312" w:eastAsia="仿宋_GB2312" w:cs="仿宋_GB2312"/>
          <w:sz w:val="32"/>
          <w:szCs w:val="32"/>
          <w:lang w:val="en-US" w:eastAsia="zh-CN"/>
        </w:rPr>
        <w:t>附件：</w:t>
      </w:r>
      <w:r>
        <w:rPr>
          <w:rFonts w:hint="eastAsia" w:ascii="仿宋_GB2312" w:hAnsi="仿宋_GB2312" w:eastAsia="仿宋_GB2312" w:cs="仿宋_GB2312"/>
          <w:sz w:val="32"/>
          <w:szCs w:val="32"/>
        </w:rPr>
        <w:t>进</w:t>
      </w:r>
      <w:r>
        <w:rPr>
          <w:rFonts w:hint="eastAsia" w:ascii="仿宋_GB2312" w:hAnsi="仿宋_GB2312" w:eastAsia="仿宋_GB2312" w:cs="仿宋_GB2312"/>
          <w:spacing w:val="-23"/>
          <w:sz w:val="32"/>
          <w:szCs w:val="32"/>
        </w:rPr>
        <w:t>一步规范诊疗行为提升医疗质量十条措施工作配档表</w:t>
      </w:r>
    </w:p>
    <w:p/>
    <w:p>
      <w:pPr>
        <w:pStyle w:val="5"/>
        <w:sectPr>
          <w:footerReference r:id="rId3" w:type="default"/>
          <w:pgSz w:w="11850" w:h="16783"/>
          <w:pgMar w:top="2098" w:right="1474" w:bottom="1984" w:left="1587" w:header="0" w:footer="1446" w:gutter="0"/>
          <w:pgNumType w:fmt="decimal"/>
          <w:cols w:space="0" w:num="1"/>
          <w:rtlGutter w:val="0"/>
          <w:docGrid w:linePitch="0" w:charSpace="0"/>
        </w:sectPr>
      </w:pPr>
    </w:p>
    <w:p>
      <w:pPr>
        <w:spacing w:before="148" w:line="237" w:lineRule="auto"/>
        <w:outlineLvl w:val="1"/>
        <w:rPr>
          <w:rFonts w:hint="eastAsia" w:ascii="黑体" w:hAnsi="黑体" w:eastAsia="黑体" w:cs="黑体"/>
          <w:spacing w:val="9"/>
          <w:sz w:val="32"/>
          <w:szCs w:val="32"/>
          <w:lang w:val="en-US" w:eastAsia="zh-CN"/>
        </w:rPr>
      </w:pPr>
      <w:r>
        <w:rPr>
          <w:rFonts w:hint="eastAsia" w:ascii="黑体" w:hAnsi="黑体" w:eastAsia="黑体" w:cs="黑体"/>
          <w:spacing w:val="9"/>
          <w:sz w:val="32"/>
          <w:szCs w:val="32"/>
          <w:lang w:val="en-US" w:eastAsia="zh-CN"/>
        </w:rPr>
        <w:t>附件</w:t>
      </w:r>
    </w:p>
    <w:p>
      <w:pPr>
        <w:spacing w:before="148" w:line="237" w:lineRule="auto"/>
        <w:ind w:left="2582"/>
        <w:outlineLvl w:val="1"/>
        <w:rPr>
          <w:rFonts w:ascii="方正小标宋简体" w:hAnsi="方正小标宋简体" w:eastAsia="方正小标宋简体" w:cs="方正小标宋简体"/>
          <w:sz w:val="43"/>
          <w:szCs w:val="43"/>
        </w:rPr>
      </w:pPr>
      <w:r>
        <w:rPr>
          <w:rFonts w:ascii="方正小标宋简体" w:hAnsi="方正小标宋简体" w:eastAsia="方正小标宋简体" w:cs="方正小标宋简体"/>
          <w:spacing w:val="9"/>
          <w:sz w:val="43"/>
          <w:szCs w:val="43"/>
        </w:rPr>
        <w:t>进一步规范诊疗行为提升医疗质量十条措施工作配档表</w:t>
      </w:r>
    </w:p>
    <w:p>
      <w:pPr>
        <w:spacing w:before="16"/>
      </w:pPr>
    </w:p>
    <w:p>
      <w:pPr>
        <w:spacing w:before="15"/>
      </w:pPr>
    </w:p>
    <w:tbl>
      <w:tblPr>
        <w:tblStyle w:val="12"/>
        <w:tblW w:w="14416"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0"/>
        <w:gridCol w:w="732"/>
        <w:gridCol w:w="3366"/>
        <w:gridCol w:w="3443"/>
        <w:gridCol w:w="3347"/>
        <w:gridCol w:w="1130"/>
        <w:gridCol w:w="19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9" w:hRule="atLeast"/>
          <w:jc w:val="center"/>
        </w:trPr>
        <w:tc>
          <w:tcPr>
            <w:tcW w:w="460" w:type="dxa"/>
            <w:vAlign w:val="top"/>
          </w:tcPr>
          <w:p>
            <w:pPr>
              <w:spacing w:before="50" w:line="201" w:lineRule="auto"/>
              <w:ind w:left="117"/>
              <w:rPr>
                <w:rFonts w:ascii="黑体" w:hAnsi="黑体" w:eastAsia="黑体" w:cs="黑体"/>
                <w:sz w:val="24"/>
                <w:szCs w:val="24"/>
              </w:rPr>
            </w:pPr>
            <w:r>
              <w:rPr>
                <w:rFonts w:ascii="黑体" w:hAnsi="黑体" w:eastAsia="黑体" w:cs="黑体"/>
                <w:sz w:val="24"/>
                <w:szCs w:val="24"/>
              </w:rPr>
              <w:t>序</w:t>
            </w:r>
          </w:p>
          <w:p>
            <w:pPr>
              <w:spacing w:line="213" w:lineRule="auto"/>
              <w:ind w:left="121"/>
              <w:rPr>
                <w:rFonts w:ascii="黑体" w:hAnsi="黑体" w:eastAsia="黑体" w:cs="黑体"/>
                <w:sz w:val="24"/>
                <w:szCs w:val="24"/>
              </w:rPr>
            </w:pPr>
            <w:r>
              <w:rPr>
                <w:rFonts w:ascii="黑体" w:hAnsi="黑体" w:eastAsia="黑体" w:cs="黑体"/>
                <w:sz w:val="24"/>
                <w:szCs w:val="24"/>
              </w:rPr>
              <w:t>号</w:t>
            </w:r>
          </w:p>
        </w:tc>
        <w:tc>
          <w:tcPr>
            <w:tcW w:w="732" w:type="dxa"/>
            <w:vAlign w:val="top"/>
          </w:tcPr>
          <w:p>
            <w:pPr>
              <w:spacing w:before="180" w:line="223" w:lineRule="auto"/>
              <w:ind w:left="125"/>
              <w:rPr>
                <w:rFonts w:ascii="黑体" w:hAnsi="黑体" w:eastAsia="黑体" w:cs="黑体"/>
                <w:sz w:val="24"/>
                <w:szCs w:val="24"/>
              </w:rPr>
            </w:pPr>
            <w:r>
              <w:rPr>
                <w:rFonts w:ascii="黑体" w:hAnsi="黑体" w:eastAsia="黑体" w:cs="黑体"/>
                <w:spacing w:val="-2"/>
                <w:sz w:val="24"/>
                <w:szCs w:val="24"/>
              </w:rPr>
              <w:t>措施</w:t>
            </w:r>
          </w:p>
        </w:tc>
        <w:tc>
          <w:tcPr>
            <w:tcW w:w="3366" w:type="dxa"/>
            <w:vAlign w:val="top"/>
          </w:tcPr>
          <w:p>
            <w:pPr>
              <w:spacing w:before="179" w:line="221" w:lineRule="auto"/>
              <w:ind w:left="1206"/>
              <w:rPr>
                <w:rFonts w:ascii="黑体" w:hAnsi="黑体" w:eastAsia="黑体" w:cs="黑体"/>
                <w:sz w:val="24"/>
                <w:szCs w:val="24"/>
              </w:rPr>
            </w:pPr>
            <w:r>
              <w:rPr>
                <w:rFonts w:ascii="黑体" w:hAnsi="黑体" w:eastAsia="黑体" w:cs="黑体"/>
                <w:spacing w:val="-2"/>
                <w:sz w:val="24"/>
                <w:szCs w:val="24"/>
              </w:rPr>
              <w:t>任务目标</w:t>
            </w:r>
          </w:p>
        </w:tc>
        <w:tc>
          <w:tcPr>
            <w:tcW w:w="3443" w:type="dxa"/>
            <w:vAlign w:val="top"/>
          </w:tcPr>
          <w:p>
            <w:pPr>
              <w:spacing w:before="179" w:line="222" w:lineRule="auto"/>
              <w:ind w:left="1248"/>
              <w:rPr>
                <w:rFonts w:ascii="黑体" w:hAnsi="黑体" w:eastAsia="黑体" w:cs="黑体"/>
                <w:sz w:val="24"/>
                <w:szCs w:val="24"/>
              </w:rPr>
            </w:pPr>
            <w:r>
              <w:rPr>
                <w:rFonts w:ascii="黑体" w:hAnsi="黑体" w:eastAsia="黑体" w:cs="黑体"/>
                <w:spacing w:val="-2"/>
                <w:sz w:val="24"/>
                <w:szCs w:val="24"/>
              </w:rPr>
              <w:t>工作内容</w:t>
            </w:r>
          </w:p>
        </w:tc>
        <w:tc>
          <w:tcPr>
            <w:tcW w:w="3347" w:type="dxa"/>
            <w:vAlign w:val="top"/>
          </w:tcPr>
          <w:p>
            <w:pPr>
              <w:spacing w:before="179" w:line="222" w:lineRule="auto"/>
              <w:ind w:left="1199"/>
              <w:rPr>
                <w:rFonts w:ascii="黑体" w:hAnsi="黑体" w:eastAsia="黑体" w:cs="黑体"/>
                <w:sz w:val="24"/>
                <w:szCs w:val="24"/>
              </w:rPr>
            </w:pPr>
            <w:r>
              <w:rPr>
                <w:rFonts w:ascii="黑体" w:hAnsi="黑体" w:eastAsia="黑体" w:cs="黑体"/>
                <w:spacing w:val="-2"/>
                <w:sz w:val="24"/>
                <w:szCs w:val="24"/>
              </w:rPr>
              <w:t>评价标准</w:t>
            </w:r>
          </w:p>
        </w:tc>
        <w:tc>
          <w:tcPr>
            <w:tcW w:w="1130" w:type="dxa"/>
            <w:vAlign w:val="top"/>
          </w:tcPr>
          <w:p>
            <w:pPr>
              <w:spacing w:before="50" w:line="201" w:lineRule="auto"/>
              <w:ind w:left="332"/>
              <w:rPr>
                <w:rFonts w:ascii="黑体" w:hAnsi="黑体" w:eastAsia="黑体" w:cs="黑体"/>
                <w:sz w:val="24"/>
                <w:szCs w:val="24"/>
              </w:rPr>
            </w:pPr>
            <w:r>
              <w:rPr>
                <w:rFonts w:ascii="黑体" w:hAnsi="黑体" w:eastAsia="黑体" w:cs="黑体"/>
                <w:spacing w:val="-3"/>
                <w:sz w:val="24"/>
                <w:szCs w:val="24"/>
              </w:rPr>
              <w:t>完成</w:t>
            </w:r>
          </w:p>
          <w:p>
            <w:pPr>
              <w:spacing w:line="213" w:lineRule="auto"/>
              <w:ind w:left="340"/>
              <w:rPr>
                <w:rFonts w:ascii="黑体" w:hAnsi="黑体" w:eastAsia="黑体" w:cs="黑体"/>
                <w:sz w:val="24"/>
                <w:szCs w:val="24"/>
              </w:rPr>
            </w:pPr>
            <w:r>
              <w:rPr>
                <w:rFonts w:ascii="黑体" w:hAnsi="黑体" w:eastAsia="黑体" w:cs="黑体"/>
                <w:spacing w:val="-5"/>
                <w:sz w:val="24"/>
                <w:szCs w:val="24"/>
              </w:rPr>
              <w:t>时限</w:t>
            </w:r>
          </w:p>
        </w:tc>
        <w:tc>
          <w:tcPr>
            <w:tcW w:w="1938" w:type="dxa"/>
            <w:vAlign w:val="top"/>
          </w:tcPr>
          <w:p>
            <w:pPr>
              <w:spacing w:before="50" w:line="207" w:lineRule="auto"/>
              <w:ind w:left="497" w:right="248" w:hanging="242"/>
              <w:rPr>
                <w:rFonts w:hint="eastAsia" w:ascii="黑体" w:hAnsi="黑体" w:eastAsia="黑体" w:cs="黑体"/>
                <w:sz w:val="24"/>
                <w:szCs w:val="24"/>
                <w:lang w:val="en-US" w:eastAsia="zh-CN"/>
              </w:rPr>
            </w:pPr>
            <w:r>
              <w:rPr>
                <w:rFonts w:hint="eastAsia" w:ascii="黑体" w:hAnsi="黑体" w:eastAsia="黑体" w:cs="黑体"/>
                <w:spacing w:val="-2"/>
                <w:sz w:val="24"/>
                <w:szCs w:val="24"/>
                <w:lang w:val="en-US" w:eastAsia="zh-CN"/>
              </w:rPr>
              <w:t>市</w:t>
            </w:r>
            <w:r>
              <w:rPr>
                <w:rFonts w:ascii="黑体" w:hAnsi="黑体" w:eastAsia="黑体" w:cs="黑体"/>
                <w:spacing w:val="-2"/>
                <w:sz w:val="24"/>
                <w:szCs w:val="24"/>
              </w:rPr>
              <w:t>卫生健康委</w:t>
            </w:r>
            <w:r>
              <w:rPr>
                <w:rFonts w:ascii="黑体" w:hAnsi="黑体" w:eastAsia="黑体" w:cs="黑体"/>
                <w:spacing w:val="-3"/>
                <w:sz w:val="24"/>
                <w:szCs w:val="24"/>
              </w:rPr>
              <w:t>责任</w:t>
            </w:r>
            <w:r>
              <w:rPr>
                <w:rFonts w:hint="eastAsia" w:ascii="黑体" w:hAnsi="黑体" w:eastAsia="黑体" w:cs="黑体"/>
                <w:spacing w:val="-3"/>
                <w:sz w:val="24"/>
                <w:szCs w:val="24"/>
                <w:lang w:val="en-US" w:eastAsia="zh-CN"/>
              </w:rPr>
              <w:t>科室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39" w:hRule="atLeast"/>
          <w:jc w:val="center"/>
        </w:trPr>
        <w:tc>
          <w:tcPr>
            <w:tcW w:w="460"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14"/>
              <w:spacing w:before="68" w:line="277" w:lineRule="exact"/>
              <w:ind w:left="196"/>
            </w:pPr>
            <w:r>
              <w:rPr>
                <w:rFonts w:ascii="Times New Roman" w:hAnsi="Times New Roman"/>
                <w:position w:val="1"/>
              </w:rPr>
              <w:t>1</w:t>
            </w:r>
          </w:p>
        </w:tc>
        <w:tc>
          <w:tcPr>
            <w:tcW w:w="732"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14"/>
              <w:spacing w:before="68" w:line="224" w:lineRule="auto"/>
              <w:ind w:left="157"/>
            </w:pPr>
            <w:r>
              <w:rPr>
                <w:spacing w:val="-2"/>
              </w:rPr>
              <w:t>推进</w:t>
            </w:r>
          </w:p>
          <w:p>
            <w:pPr>
              <w:pStyle w:val="14"/>
              <w:spacing w:before="4" w:line="224" w:lineRule="auto"/>
              <w:jc w:val="center"/>
            </w:pPr>
            <w:r>
              <w:rPr>
                <w:spacing w:val="-11"/>
              </w:rPr>
              <w:t>日间</w:t>
            </w:r>
          </w:p>
          <w:p>
            <w:pPr>
              <w:pStyle w:val="14"/>
              <w:spacing w:before="6" w:line="222" w:lineRule="auto"/>
              <w:ind w:left="167"/>
            </w:pPr>
            <w:r>
              <w:rPr>
                <w:spacing w:val="-4"/>
              </w:rPr>
              <w:t>医疗</w:t>
            </w:r>
          </w:p>
        </w:tc>
        <w:tc>
          <w:tcPr>
            <w:tcW w:w="3366" w:type="dxa"/>
            <w:vAlign w:val="top"/>
          </w:tcPr>
          <w:p>
            <w:pPr>
              <w:spacing w:line="296" w:lineRule="auto"/>
              <w:rPr>
                <w:rFonts w:ascii="Arial"/>
                <w:sz w:val="21"/>
              </w:rPr>
            </w:pPr>
          </w:p>
          <w:p>
            <w:pPr>
              <w:spacing w:line="297" w:lineRule="auto"/>
              <w:rPr>
                <w:rFonts w:ascii="Arial"/>
                <w:sz w:val="21"/>
              </w:rPr>
            </w:pPr>
          </w:p>
          <w:p>
            <w:pPr>
              <w:spacing w:line="297" w:lineRule="auto"/>
              <w:rPr>
                <w:rFonts w:ascii="Arial"/>
                <w:sz w:val="21"/>
              </w:rPr>
            </w:pPr>
          </w:p>
          <w:p>
            <w:pPr>
              <w:pStyle w:val="14"/>
              <w:spacing w:before="68" w:line="229" w:lineRule="auto"/>
              <w:ind w:left="111" w:right="103"/>
            </w:pPr>
            <w:r>
              <w:rPr>
                <w:spacing w:val="-1"/>
              </w:rPr>
              <w:t>①三级综合医院全部开展日间医疗</w:t>
            </w:r>
            <w:r>
              <w:rPr>
                <w:spacing w:val="-8"/>
              </w:rPr>
              <w:t>服务。</w:t>
            </w:r>
          </w:p>
          <w:p>
            <w:pPr>
              <w:pStyle w:val="14"/>
              <w:spacing w:line="219" w:lineRule="auto"/>
              <w:ind w:left="110"/>
            </w:pPr>
            <w:r>
              <w:rPr>
                <w:spacing w:val="-1"/>
              </w:rPr>
              <w:t>②日间手术占择期手术的比例较</w:t>
            </w:r>
          </w:p>
          <w:p>
            <w:pPr>
              <w:pStyle w:val="14"/>
              <w:spacing w:before="10" w:line="221" w:lineRule="auto"/>
              <w:ind w:left="114"/>
            </w:pPr>
            <w:r>
              <w:rPr>
                <w:rFonts w:ascii="Times New Roman" w:hAnsi="Times New Roman"/>
                <w:spacing w:val="-4"/>
              </w:rPr>
              <w:t>2024</w:t>
            </w:r>
            <w:r>
              <w:rPr>
                <w:spacing w:val="-4"/>
              </w:rPr>
              <w:t>年明显提升。</w:t>
            </w:r>
          </w:p>
          <w:p>
            <w:pPr>
              <w:pStyle w:val="14"/>
              <w:spacing w:before="9" w:line="230" w:lineRule="auto"/>
              <w:ind w:left="111" w:right="115" w:hanging="2"/>
            </w:pPr>
            <w:r>
              <w:rPr>
                <w:sz w:val="19"/>
                <w:szCs w:val="19"/>
              </w:rPr>
              <w:t>③</w:t>
            </w:r>
            <w:r>
              <w:t>日间医疗相关病种住院次均费用</w:t>
            </w:r>
            <w:r>
              <w:rPr>
                <w:spacing w:val="-5"/>
              </w:rPr>
              <w:t>较</w:t>
            </w:r>
            <w:r>
              <w:rPr>
                <w:rFonts w:ascii="Times New Roman" w:hAnsi="Times New Roman"/>
                <w:spacing w:val="-5"/>
              </w:rPr>
              <w:t>2024</w:t>
            </w:r>
            <w:r>
              <w:rPr>
                <w:spacing w:val="-5"/>
              </w:rPr>
              <w:t>年下降。</w:t>
            </w:r>
          </w:p>
        </w:tc>
        <w:tc>
          <w:tcPr>
            <w:tcW w:w="3443" w:type="dxa"/>
            <w:vAlign w:val="top"/>
          </w:tcPr>
          <w:p>
            <w:pPr>
              <w:spacing w:line="244" w:lineRule="auto"/>
              <w:rPr>
                <w:rFonts w:ascii="Arial"/>
                <w:sz w:val="21"/>
              </w:rPr>
            </w:pPr>
          </w:p>
          <w:p>
            <w:pPr>
              <w:pStyle w:val="14"/>
              <w:spacing w:before="68" w:line="229" w:lineRule="auto"/>
              <w:ind w:right="179"/>
            </w:pPr>
            <w:r>
              <w:rPr>
                <w:spacing w:val="-1"/>
              </w:rPr>
              <w:t>①医疗机构要建立健全日间医疗服务流程和监测标准，动态管理日间医疗病种和技术目录。</w:t>
            </w:r>
          </w:p>
          <w:p>
            <w:pPr>
              <w:pStyle w:val="14"/>
              <w:spacing w:before="1" w:line="227" w:lineRule="auto"/>
              <w:ind w:left="114" w:right="25" w:hanging="3"/>
            </w:pPr>
            <w:r>
              <w:rPr>
                <w:spacing w:val="-4"/>
              </w:rPr>
              <w:t>②医疗机构要强化患者治疗前、中、后全流程管理。</w:t>
            </w:r>
          </w:p>
          <w:p>
            <w:pPr>
              <w:pStyle w:val="14"/>
              <w:spacing w:before="2" w:line="228" w:lineRule="auto"/>
              <w:ind w:left="111" w:right="179"/>
            </w:pPr>
            <w:r>
              <w:rPr>
                <w:spacing w:val="-1"/>
              </w:rPr>
              <w:t>③医疗机构要加强应急管理，完善会诊、转诊机制。</w:t>
            </w:r>
          </w:p>
          <w:p>
            <w:pPr>
              <w:pStyle w:val="14"/>
              <w:spacing w:before="2" w:line="228" w:lineRule="auto"/>
              <w:ind w:left="116" w:right="179" w:hanging="5"/>
            </w:pPr>
            <w:r>
              <w:rPr>
                <w:spacing w:val="-1"/>
              </w:rPr>
              <w:t>④鼓励医疗机构将快速康复、疼痛管理等引入日间手术管理。</w:t>
            </w:r>
          </w:p>
          <w:p>
            <w:pPr>
              <w:pStyle w:val="14"/>
              <w:spacing w:line="219" w:lineRule="auto"/>
              <w:ind w:left="111"/>
            </w:pPr>
            <w:r>
              <w:rPr>
                <w:spacing w:val="-1"/>
              </w:rPr>
              <w:t>⑤医疗机构应发挥信息化赋能作</w:t>
            </w:r>
          </w:p>
          <w:p>
            <w:pPr>
              <w:pStyle w:val="14"/>
              <w:spacing w:before="10" w:line="221" w:lineRule="auto"/>
              <w:ind w:right="12"/>
              <w:jc w:val="right"/>
            </w:pPr>
            <w:r>
              <w:rPr>
                <w:spacing w:val="-4"/>
              </w:rPr>
              <w:t>用，优化服务流程、提高运行效率。</w:t>
            </w:r>
          </w:p>
        </w:tc>
        <w:tc>
          <w:tcPr>
            <w:tcW w:w="3347" w:type="dxa"/>
            <w:vAlign w:val="top"/>
          </w:tcPr>
          <w:p>
            <w:pPr>
              <w:spacing w:line="251" w:lineRule="auto"/>
              <w:rPr>
                <w:rFonts w:ascii="Arial"/>
                <w:sz w:val="21"/>
              </w:rPr>
            </w:pPr>
          </w:p>
          <w:p>
            <w:pPr>
              <w:spacing w:line="251" w:lineRule="auto"/>
              <w:rPr>
                <w:rFonts w:ascii="Arial"/>
                <w:sz w:val="21"/>
              </w:rPr>
            </w:pPr>
          </w:p>
          <w:p>
            <w:pPr>
              <w:pStyle w:val="14"/>
              <w:spacing w:before="68" w:line="227" w:lineRule="auto"/>
              <w:ind w:left="115" w:right="101" w:hanging="2"/>
              <w:rPr>
                <w:rFonts w:hint="eastAsia" w:eastAsia="宋体"/>
                <w:lang w:eastAsia="zh-CN"/>
              </w:rPr>
            </w:pPr>
            <w:r>
              <w:rPr>
                <w:spacing w:val="-2"/>
              </w:rPr>
              <w:t>①辖区内二级以</w:t>
            </w:r>
            <w:r>
              <w:rPr>
                <w:spacing w:val="-1"/>
              </w:rPr>
              <w:t>上医疗机构积极开展日间医疗服</w:t>
            </w:r>
            <w:r>
              <w:rPr>
                <w:spacing w:val="-2"/>
              </w:rPr>
              <w:t>务</w:t>
            </w:r>
            <w:r>
              <w:rPr>
                <w:rFonts w:hint="eastAsia"/>
                <w:spacing w:val="-2"/>
                <w:lang w:eastAsia="zh-CN"/>
              </w:rPr>
              <w:t>。</w:t>
            </w:r>
          </w:p>
          <w:p>
            <w:pPr>
              <w:pStyle w:val="14"/>
              <w:spacing w:before="9" w:line="227" w:lineRule="auto"/>
              <w:ind w:left="112" w:right="101"/>
            </w:pPr>
            <w:r>
              <w:rPr>
                <w:spacing w:val="-2"/>
              </w:rPr>
              <w:t>②健全日间医疗服务制度，制定日间医疗病种和技术目录并实行动态管理。日间手术占择期手术比例明显提升，日间医疗相关病种次均费用逐步下降。</w:t>
            </w:r>
          </w:p>
        </w:tc>
        <w:tc>
          <w:tcPr>
            <w:tcW w:w="1130"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14"/>
              <w:spacing w:before="69" w:line="221" w:lineRule="auto"/>
              <w:ind w:left="127"/>
            </w:pPr>
            <w:r>
              <w:rPr>
                <w:rFonts w:ascii="Times New Roman" w:hAnsi="Times New Roman"/>
                <w:spacing w:val="-2"/>
              </w:rPr>
              <w:t>2025</w:t>
            </w:r>
            <w:r>
              <w:rPr>
                <w:spacing w:val="-2"/>
              </w:rPr>
              <w:t>年底</w:t>
            </w:r>
          </w:p>
        </w:tc>
        <w:tc>
          <w:tcPr>
            <w:tcW w:w="1938"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14"/>
              <w:spacing w:before="68" w:line="223" w:lineRule="auto"/>
              <w:jc w:val="center"/>
              <w:rPr>
                <w:rFonts w:hint="eastAsia" w:eastAsia="宋体"/>
                <w:lang w:eastAsia="zh-CN"/>
              </w:rPr>
            </w:pPr>
            <w:r>
              <w:rPr>
                <w:spacing w:val="-4"/>
              </w:rPr>
              <w:t>医政</w:t>
            </w:r>
            <w:r>
              <w:rPr>
                <w:rFonts w:hint="eastAsia"/>
                <w:spacing w:val="-4"/>
                <w:lang w:val="en-US" w:eastAsia="zh-CN"/>
              </w:rPr>
              <w:t>科</w:t>
            </w:r>
          </w:p>
          <w:p>
            <w:pPr>
              <w:pStyle w:val="14"/>
              <w:spacing w:before="7" w:line="222" w:lineRule="auto"/>
              <w:jc w:val="center"/>
              <w:rPr>
                <w:rFonts w:hint="eastAsia"/>
                <w:spacing w:val="-2"/>
                <w:lang w:val="en-US" w:eastAsia="zh-CN"/>
              </w:rPr>
            </w:pPr>
            <w:r>
              <w:rPr>
                <w:rFonts w:hint="eastAsia"/>
                <w:spacing w:val="-2"/>
                <w:lang w:val="en-US" w:eastAsia="zh-CN"/>
              </w:rPr>
              <w:t>基层卫生健康科</w:t>
            </w:r>
          </w:p>
          <w:p>
            <w:pPr>
              <w:pStyle w:val="14"/>
              <w:spacing w:before="9" w:line="221" w:lineRule="auto"/>
              <w:jc w:val="center"/>
              <w:rPr>
                <w:rFonts w:hint="eastAsia"/>
                <w:spacing w:val="-4"/>
                <w:lang w:val="en-US" w:eastAsia="zh-CN"/>
              </w:rPr>
            </w:pPr>
            <w:r>
              <w:rPr>
                <w:rFonts w:hint="eastAsia"/>
                <w:spacing w:val="-4"/>
                <w:lang w:val="en-US" w:eastAsia="zh-CN"/>
              </w:rPr>
              <w:t>中医药管理科</w:t>
            </w:r>
          </w:p>
          <w:p>
            <w:pPr>
              <w:pStyle w:val="14"/>
              <w:spacing w:before="9" w:line="221" w:lineRule="auto"/>
              <w:jc w:val="center"/>
            </w:pPr>
            <w:r>
              <w:rPr>
                <w:spacing w:val="-3"/>
              </w:rPr>
              <w:t>（按职责分工负</w:t>
            </w:r>
            <w:r>
              <w:rPr>
                <w:spacing w:val="-4"/>
              </w:rPr>
              <w:t>责，下同）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38" w:hRule="atLeast"/>
          <w:jc w:val="center"/>
        </w:trPr>
        <w:tc>
          <w:tcPr>
            <w:tcW w:w="460"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14"/>
              <w:spacing w:before="69" w:line="276" w:lineRule="exact"/>
              <w:ind w:left="183"/>
            </w:pPr>
            <w:r>
              <w:rPr>
                <w:rFonts w:ascii="Times New Roman" w:hAnsi="Times New Roman"/>
                <w:position w:val="1"/>
              </w:rPr>
              <w:t>2</w:t>
            </w:r>
          </w:p>
        </w:tc>
        <w:tc>
          <w:tcPr>
            <w:tcW w:w="732" w:type="dxa"/>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14"/>
              <w:spacing w:before="68" w:line="222" w:lineRule="auto"/>
              <w:ind w:left="157"/>
            </w:pPr>
            <w:r>
              <w:rPr>
                <w:spacing w:val="-2"/>
              </w:rPr>
              <w:t>推行</w:t>
            </w:r>
          </w:p>
          <w:p>
            <w:pPr>
              <w:pStyle w:val="14"/>
              <w:spacing w:before="6" w:line="223" w:lineRule="auto"/>
              <w:ind w:left="167"/>
            </w:pPr>
            <w:r>
              <w:rPr>
                <w:spacing w:val="-4"/>
              </w:rPr>
              <w:t>多学</w:t>
            </w:r>
          </w:p>
          <w:p>
            <w:pPr>
              <w:pStyle w:val="14"/>
              <w:spacing w:before="5" w:line="221" w:lineRule="auto"/>
              <w:ind w:left="157"/>
            </w:pPr>
            <w:r>
              <w:rPr>
                <w:spacing w:val="-2"/>
              </w:rPr>
              <w:t>科诊</w:t>
            </w:r>
          </w:p>
          <w:p>
            <w:pPr>
              <w:pStyle w:val="14"/>
              <w:spacing w:before="11" w:line="230" w:lineRule="auto"/>
              <w:ind w:left="264" w:right="155" w:hanging="108"/>
            </w:pPr>
            <w:r>
              <w:rPr>
                <w:spacing w:val="-3"/>
              </w:rPr>
              <w:t>疗模</w:t>
            </w:r>
            <w:r>
              <w:t>式</w:t>
            </w:r>
          </w:p>
        </w:tc>
        <w:tc>
          <w:tcPr>
            <w:tcW w:w="3366" w:type="dxa"/>
            <w:vAlign w:val="top"/>
          </w:tcPr>
          <w:p>
            <w:pPr>
              <w:spacing w:line="317" w:lineRule="auto"/>
              <w:rPr>
                <w:rFonts w:ascii="Arial"/>
                <w:sz w:val="21"/>
              </w:rPr>
            </w:pPr>
          </w:p>
          <w:p>
            <w:pPr>
              <w:spacing w:line="318" w:lineRule="auto"/>
              <w:rPr>
                <w:rFonts w:ascii="Arial"/>
                <w:sz w:val="21"/>
              </w:rPr>
            </w:pPr>
          </w:p>
          <w:p>
            <w:pPr>
              <w:spacing w:line="318" w:lineRule="auto"/>
              <w:rPr>
                <w:rFonts w:ascii="Arial"/>
                <w:sz w:val="21"/>
              </w:rPr>
            </w:pPr>
          </w:p>
          <w:p>
            <w:pPr>
              <w:pStyle w:val="14"/>
              <w:spacing w:before="68" w:line="229" w:lineRule="auto"/>
              <w:ind w:left="112" w:right="103" w:hanging="1"/>
            </w:pPr>
            <w:r>
              <w:rPr>
                <w:spacing w:val="-1"/>
              </w:rPr>
              <w:t>①三级综合医院和有条件的二级综</w:t>
            </w:r>
            <w:r>
              <w:rPr>
                <w:spacing w:val="-3"/>
              </w:rPr>
              <w:t>合医院均设立</w:t>
            </w:r>
            <w:r>
              <w:rPr>
                <w:rFonts w:ascii="Times New Roman" w:hAnsi="Times New Roman"/>
                <w:spacing w:val="-3"/>
              </w:rPr>
              <w:t>MDT</w:t>
            </w:r>
            <w:r>
              <w:rPr>
                <w:spacing w:val="-3"/>
              </w:rPr>
              <w:t>门诊，提供“患</w:t>
            </w:r>
            <w:r>
              <w:rPr>
                <w:spacing w:val="-2"/>
              </w:rPr>
              <w:t>者不动医师动”的</w:t>
            </w:r>
            <w:r>
              <w:rPr>
                <w:rFonts w:ascii="Times New Roman" w:hAnsi="Times New Roman"/>
                <w:spacing w:val="-2"/>
              </w:rPr>
              <w:t>MDT</w:t>
            </w:r>
            <w:r>
              <w:rPr>
                <w:spacing w:val="-2"/>
              </w:rPr>
              <w:t>服务。</w:t>
            </w:r>
          </w:p>
          <w:p>
            <w:pPr>
              <w:pStyle w:val="14"/>
              <w:spacing w:before="2" w:line="229" w:lineRule="auto"/>
              <w:ind w:left="110" w:right="28"/>
            </w:pPr>
            <w:r>
              <w:rPr>
                <w:spacing w:val="-9"/>
              </w:rPr>
              <w:t>②肺癌、胃癌、食管癌、结直肠癌、</w:t>
            </w:r>
            <w:r>
              <w:rPr>
                <w:spacing w:val="-1"/>
              </w:rPr>
              <w:t>乳腺癌、肝癌等肿瘤患者，三级医</w:t>
            </w:r>
            <w:r>
              <w:rPr>
                <w:spacing w:val="-7"/>
              </w:rPr>
              <w:t>院治疗前</w:t>
            </w:r>
            <w:r>
              <w:rPr>
                <w:rFonts w:ascii="Times New Roman" w:hAnsi="Times New Roman"/>
                <w:spacing w:val="-7"/>
              </w:rPr>
              <w:t>MDT</w:t>
            </w:r>
            <w:r>
              <w:rPr>
                <w:spacing w:val="-7"/>
              </w:rPr>
              <w:t>率≥</w:t>
            </w:r>
            <w:r>
              <w:rPr>
                <w:rFonts w:ascii="Times New Roman" w:hAnsi="Times New Roman"/>
                <w:spacing w:val="-7"/>
              </w:rPr>
              <w:t>50%</w:t>
            </w:r>
            <w:r>
              <w:rPr>
                <w:spacing w:val="-7"/>
              </w:rPr>
              <w:t>，二级医院治</w:t>
            </w:r>
            <w:r>
              <w:rPr>
                <w:spacing w:val="-2"/>
              </w:rPr>
              <w:t>疗前</w:t>
            </w:r>
            <w:r>
              <w:rPr>
                <w:rFonts w:ascii="Times New Roman" w:hAnsi="Times New Roman"/>
                <w:spacing w:val="-2"/>
              </w:rPr>
              <w:t>MDT</w:t>
            </w:r>
            <w:r>
              <w:rPr>
                <w:spacing w:val="-2"/>
              </w:rPr>
              <w:t>率≥</w:t>
            </w:r>
            <w:r>
              <w:rPr>
                <w:rFonts w:ascii="Times New Roman" w:hAnsi="Times New Roman"/>
                <w:spacing w:val="-2"/>
              </w:rPr>
              <w:t>30%</w:t>
            </w:r>
            <w:r>
              <w:rPr>
                <w:spacing w:val="-2"/>
              </w:rPr>
              <w:t>。</w:t>
            </w:r>
          </w:p>
        </w:tc>
        <w:tc>
          <w:tcPr>
            <w:tcW w:w="3443" w:type="dxa"/>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14"/>
              <w:spacing w:before="68" w:line="228" w:lineRule="auto"/>
              <w:ind w:left="115" w:right="178" w:hanging="3"/>
            </w:pPr>
            <w:r>
              <w:rPr>
                <w:spacing w:val="-1"/>
              </w:rPr>
              <w:t>①医疗机构要建立健全多学科诊疗</w:t>
            </w:r>
            <w:r>
              <w:rPr>
                <w:spacing w:val="-2"/>
              </w:rPr>
              <w:t>工作制度和流程，并持续优化。</w:t>
            </w:r>
          </w:p>
          <w:p>
            <w:pPr>
              <w:pStyle w:val="14"/>
              <w:spacing w:line="230" w:lineRule="auto"/>
              <w:ind w:left="114" w:right="178" w:hanging="2"/>
            </w:pPr>
            <w:r>
              <w:rPr>
                <w:spacing w:val="-1"/>
              </w:rPr>
              <w:t>②医疗机构要扩展多学科诊疗覆盖</w:t>
            </w:r>
            <w:r>
              <w:rPr>
                <w:spacing w:val="-2"/>
              </w:rPr>
              <w:t>面，成立</w:t>
            </w:r>
            <w:r>
              <w:rPr>
                <w:rFonts w:ascii="Times New Roman" w:hAnsi="Times New Roman"/>
                <w:spacing w:val="-2"/>
              </w:rPr>
              <w:t>MDT</w:t>
            </w:r>
            <w:r>
              <w:rPr>
                <w:spacing w:val="-2"/>
              </w:rPr>
              <w:t>专家团队，科学制定</w:t>
            </w:r>
            <w:r>
              <w:rPr>
                <w:spacing w:val="-3"/>
              </w:rPr>
              <w:t>诊疗方案并实施，提升治疗效果。</w:t>
            </w:r>
          </w:p>
        </w:tc>
        <w:tc>
          <w:tcPr>
            <w:tcW w:w="3347" w:type="dxa"/>
            <w:vAlign w:val="center"/>
          </w:tcPr>
          <w:p>
            <w:pPr>
              <w:pStyle w:val="14"/>
              <w:spacing w:before="5" w:line="227" w:lineRule="auto"/>
              <w:ind w:left="113" w:right="100"/>
              <w:jc w:val="both"/>
            </w:pPr>
            <w:r>
              <w:rPr>
                <w:spacing w:val="-2"/>
              </w:rPr>
              <w:t>①三级综合医院和有条</w:t>
            </w:r>
            <w:r>
              <w:rPr>
                <w:spacing w:val="-4"/>
              </w:rPr>
              <w:t>件的二级综合医院设立</w:t>
            </w:r>
            <w:r>
              <w:rPr>
                <w:rFonts w:ascii="Times New Roman" w:hAnsi="Times New Roman"/>
                <w:spacing w:val="-4"/>
              </w:rPr>
              <w:t>MDT</w:t>
            </w:r>
            <w:r>
              <w:rPr>
                <w:spacing w:val="-4"/>
              </w:rPr>
              <w:t>门诊，</w:t>
            </w:r>
            <w:r>
              <w:rPr>
                <w:spacing w:val="-2"/>
              </w:rPr>
              <w:t>提供“患者不动医师动”的</w:t>
            </w:r>
            <w:r>
              <w:rPr>
                <w:rFonts w:ascii="Times New Roman" w:hAnsi="Times New Roman"/>
                <w:spacing w:val="-2"/>
              </w:rPr>
              <w:t>MDT</w:t>
            </w:r>
            <w:r>
              <w:rPr>
                <w:spacing w:val="-2"/>
              </w:rPr>
              <w:t>服</w:t>
            </w:r>
            <w:r>
              <w:rPr>
                <w:spacing w:val="-9"/>
              </w:rPr>
              <w:t>务。</w:t>
            </w:r>
          </w:p>
          <w:p>
            <w:pPr>
              <w:pStyle w:val="14"/>
              <w:spacing w:before="9" w:line="226" w:lineRule="auto"/>
              <w:ind w:left="115" w:right="29" w:hanging="3"/>
              <w:jc w:val="both"/>
            </w:pPr>
            <w:r>
              <w:rPr>
                <w:rFonts w:hint="eastAsia"/>
                <w:spacing w:val="-10"/>
                <w:lang w:val="en-US" w:eastAsia="zh-CN"/>
              </w:rPr>
              <w:t>②</w:t>
            </w:r>
            <w:r>
              <w:rPr>
                <w:spacing w:val="-10"/>
              </w:rPr>
              <w:t>三级医院：肺癌、胃癌、食管癌、</w:t>
            </w:r>
            <w:r>
              <w:rPr>
                <w:spacing w:val="-2"/>
              </w:rPr>
              <w:t>结直肠癌、乳腺癌、肝癌等肿瘤患者，治疗前</w:t>
            </w:r>
            <w:r>
              <w:rPr>
                <w:rFonts w:ascii="Times New Roman" w:hAnsi="Times New Roman"/>
                <w:spacing w:val="-2"/>
              </w:rPr>
              <w:t>MDT</w:t>
            </w:r>
            <w:r>
              <w:rPr>
                <w:spacing w:val="-2"/>
              </w:rPr>
              <w:t>率≥</w:t>
            </w:r>
            <w:r>
              <w:rPr>
                <w:rFonts w:ascii="Times New Roman" w:hAnsi="Times New Roman"/>
                <w:spacing w:val="-2"/>
              </w:rPr>
              <w:t>50%</w:t>
            </w:r>
            <w:r>
              <w:rPr>
                <w:spacing w:val="-2"/>
              </w:rPr>
              <w:t>。</w:t>
            </w:r>
          </w:p>
          <w:p>
            <w:pPr>
              <w:pStyle w:val="14"/>
              <w:spacing w:before="8" w:line="226" w:lineRule="auto"/>
              <w:ind w:left="115" w:right="29" w:hanging="3"/>
              <w:jc w:val="both"/>
            </w:pPr>
            <w:r>
              <w:rPr>
                <w:rFonts w:hint="eastAsia"/>
                <w:spacing w:val="-9"/>
                <w:sz w:val="19"/>
                <w:szCs w:val="19"/>
                <w:lang w:val="en-US" w:eastAsia="zh-CN"/>
              </w:rPr>
              <w:t>③</w:t>
            </w:r>
            <w:r>
              <w:rPr>
                <w:spacing w:val="-9"/>
              </w:rPr>
              <w:t>二级医院：肺癌、胃癌、食管癌、</w:t>
            </w:r>
            <w:r>
              <w:rPr>
                <w:spacing w:val="-2"/>
              </w:rPr>
              <w:t>结直肠癌、乳腺癌、肝癌等肿瘤患者，治疗前</w:t>
            </w:r>
            <w:r>
              <w:rPr>
                <w:rFonts w:ascii="Times New Roman" w:hAnsi="Times New Roman"/>
                <w:spacing w:val="-2"/>
              </w:rPr>
              <w:t>MDT</w:t>
            </w:r>
            <w:r>
              <w:rPr>
                <w:spacing w:val="-2"/>
              </w:rPr>
              <w:t>率≥</w:t>
            </w:r>
            <w:r>
              <w:rPr>
                <w:rFonts w:ascii="Times New Roman" w:hAnsi="Times New Roman"/>
                <w:spacing w:val="-2"/>
              </w:rPr>
              <w:t>30%</w:t>
            </w:r>
            <w:r>
              <w:rPr>
                <w:spacing w:val="-2"/>
              </w:rPr>
              <w:t>。</w:t>
            </w:r>
          </w:p>
        </w:tc>
        <w:tc>
          <w:tcPr>
            <w:tcW w:w="1130"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14"/>
              <w:spacing w:before="68" w:line="221" w:lineRule="auto"/>
              <w:ind w:left="128"/>
            </w:pPr>
            <w:r>
              <w:rPr>
                <w:rFonts w:ascii="Times New Roman" w:hAnsi="Times New Roman"/>
                <w:spacing w:val="-2"/>
              </w:rPr>
              <w:t>2025</w:t>
            </w:r>
            <w:r>
              <w:rPr>
                <w:spacing w:val="-2"/>
              </w:rPr>
              <w:t>年底</w:t>
            </w:r>
          </w:p>
        </w:tc>
        <w:tc>
          <w:tcPr>
            <w:tcW w:w="1938" w:type="dxa"/>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14"/>
              <w:spacing w:before="68" w:line="223" w:lineRule="auto"/>
              <w:jc w:val="center"/>
              <w:rPr>
                <w:rFonts w:hint="eastAsia" w:eastAsia="宋体"/>
                <w:lang w:eastAsia="zh-CN"/>
              </w:rPr>
            </w:pPr>
            <w:r>
              <w:rPr>
                <w:spacing w:val="-4"/>
              </w:rPr>
              <w:t>医政</w:t>
            </w:r>
            <w:r>
              <w:rPr>
                <w:rFonts w:hint="eastAsia"/>
                <w:spacing w:val="-4"/>
                <w:lang w:val="en-US" w:eastAsia="zh-CN"/>
              </w:rPr>
              <w:t>科</w:t>
            </w:r>
          </w:p>
          <w:p>
            <w:pPr>
              <w:pStyle w:val="14"/>
              <w:spacing w:before="7" w:line="222" w:lineRule="auto"/>
              <w:jc w:val="center"/>
              <w:rPr>
                <w:rFonts w:hint="eastAsia"/>
                <w:spacing w:val="-2"/>
                <w:lang w:val="en-US" w:eastAsia="zh-CN"/>
              </w:rPr>
            </w:pPr>
            <w:r>
              <w:rPr>
                <w:rFonts w:hint="eastAsia"/>
                <w:spacing w:val="-2"/>
                <w:lang w:val="en-US" w:eastAsia="zh-CN"/>
              </w:rPr>
              <w:t>基层卫生健康科</w:t>
            </w:r>
          </w:p>
          <w:p>
            <w:pPr>
              <w:pStyle w:val="14"/>
              <w:spacing w:before="7" w:line="222" w:lineRule="auto"/>
              <w:jc w:val="center"/>
            </w:pPr>
            <w:r>
              <w:rPr>
                <w:rFonts w:hint="eastAsia"/>
                <w:spacing w:val="-4"/>
                <w:lang w:val="en-US" w:eastAsia="zh-CN"/>
              </w:rPr>
              <w:t>中医药管理科</w:t>
            </w:r>
          </w:p>
        </w:tc>
      </w:tr>
    </w:tbl>
    <w:p>
      <w:pPr>
        <w:rPr>
          <w:rFonts w:ascii="Arial"/>
          <w:sz w:val="21"/>
        </w:rPr>
      </w:pPr>
    </w:p>
    <w:p>
      <w:pPr>
        <w:rPr>
          <w:rFonts w:ascii="Arial" w:hAnsi="Arial" w:eastAsia="Arial" w:cs="Arial"/>
          <w:sz w:val="21"/>
          <w:szCs w:val="21"/>
        </w:rPr>
        <w:sectPr>
          <w:footerReference r:id="rId4" w:type="default"/>
          <w:pgSz w:w="16838" w:h="11905" w:orient="landscape"/>
          <w:pgMar w:top="1015" w:right="680" w:bottom="1157" w:left="680" w:header="0" w:footer="992" w:gutter="0"/>
          <w:pgNumType w:fmt="decimal"/>
          <w:cols w:space="0" w:num="1"/>
          <w:rtlGutter w:val="0"/>
          <w:docGrid w:linePitch="0" w:charSpace="0"/>
        </w:sectPr>
      </w:pPr>
    </w:p>
    <w:p>
      <w:pPr>
        <w:spacing w:line="120" w:lineRule="exact"/>
      </w:pPr>
    </w:p>
    <w:tbl>
      <w:tblPr>
        <w:tblStyle w:val="12"/>
        <w:tblW w:w="14416"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0"/>
        <w:gridCol w:w="732"/>
        <w:gridCol w:w="3366"/>
        <w:gridCol w:w="3443"/>
        <w:gridCol w:w="3347"/>
        <w:gridCol w:w="1130"/>
        <w:gridCol w:w="19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9" w:hRule="atLeast"/>
          <w:jc w:val="center"/>
        </w:trPr>
        <w:tc>
          <w:tcPr>
            <w:tcW w:w="460" w:type="dxa"/>
            <w:vAlign w:val="top"/>
          </w:tcPr>
          <w:p>
            <w:pPr>
              <w:spacing w:before="50" w:line="201" w:lineRule="auto"/>
              <w:ind w:left="117"/>
              <w:rPr>
                <w:rFonts w:ascii="黑体" w:hAnsi="黑体" w:eastAsia="黑体" w:cs="黑体"/>
                <w:sz w:val="24"/>
                <w:szCs w:val="24"/>
              </w:rPr>
            </w:pPr>
            <w:r>
              <w:rPr>
                <w:rFonts w:ascii="黑体" w:hAnsi="黑体" w:eastAsia="黑体" w:cs="黑体"/>
                <w:sz w:val="24"/>
                <w:szCs w:val="24"/>
              </w:rPr>
              <w:t>序</w:t>
            </w:r>
          </w:p>
          <w:p>
            <w:pPr>
              <w:spacing w:line="213" w:lineRule="auto"/>
              <w:ind w:left="121"/>
              <w:rPr>
                <w:rFonts w:ascii="黑体" w:hAnsi="黑体" w:eastAsia="黑体" w:cs="黑体"/>
                <w:sz w:val="24"/>
                <w:szCs w:val="24"/>
              </w:rPr>
            </w:pPr>
            <w:r>
              <w:rPr>
                <w:rFonts w:ascii="黑体" w:hAnsi="黑体" w:eastAsia="黑体" w:cs="黑体"/>
                <w:sz w:val="24"/>
                <w:szCs w:val="24"/>
              </w:rPr>
              <w:t>号</w:t>
            </w:r>
          </w:p>
        </w:tc>
        <w:tc>
          <w:tcPr>
            <w:tcW w:w="732" w:type="dxa"/>
            <w:vAlign w:val="top"/>
          </w:tcPr>
          <w:p>
            <w:pPr>
              <w:spacing w:before="180" w:line="223" w:lineRule="auto"/>
              <w:ind w:left="125"/>
              <w:rPr>
                <w:rFonts w:ascii="黑体" w:hAnsi="黑体" w:eastAsia="黑体" w:cs="黑体"/>
                <w:sz w:val="24"/>
                <w:szCs w:val="24"/>
              </w:rPr>
            </w:pPr>
            <w:r>
              <w:rPr>
                <w:rFonts w:ascii="黑体" w:hAnsi="黑体" w:eastAsia="黑体" w:cs="黑体"/>
                <w:spacing w:val="-2"/>
                <w:sz w:val="24"/>
                <w:szCs w:val="24"/>
              </w:rPr>
              <w:t>措施</w:t>
            </w:r>
          </w:p>
        </w:tc>
        <w:tc>
          <w:tcPr>
            <w:tcW w:w="3366" w:type="dxa"/>
            <w:vAlign w:val="top"/>
          </w:tcPr>
          <w:p>
            <w:pPr>
              <w:spacing w:before="179" w:line="221" w:lineRule="auto"/>
              <w:ind w:left="1206"/>
              <w:rPr>
                <w:rFonts w:ascii="黑体" w:hAnsi="黑体" w:eastAsia="黑体" w:cs="黑体"/>
                <w:sz w:val="24"/>
                <w:szCs w:val="24"/>
              </w:rPr>
            </w:pPr>
            <w:r>
              <w:rPr>
                <w:rFonts w:ascii="黑体" w:hAnsi="黑体" w:eastAsia="黑体" w:cs="黑体"/>
                <w:spacing w:val="-2"/>
                <w:sz w:val="24"/>
                <w:szCs w:val="24"/>
              </w:rPr>
              <w:t>任务目标</w:t>
            </w:r>
          </w:p>
        </w:tc>
        <w:tc>
          <w:tcPr>
            <w:tcW w:w="3443" w:type="dxa"/>
            <w:vAlign w:val="top"/>
          </w:tcPr>
          <w:p>
            <w:pPr>
              <w:spacing w:before="179" w:line="222" w:lineRule="auto"/>
              <w:ind w:left="1248"/>
              <w:rPr>
                <w:rFonts w:ascii="黑体" w:hAnsi="黑体" w:eastAsia="黑体" w:cs="黑体"/>
                <w:sz w:val="24"/>
                <w:szCs w:val="24"/>
              </w:rPr>
            </w:pPr>
            <w:r>
              <w:rPr>
                <w:rFonts w:ascii="黑体" w:hAnsi="黑体" w:eastAsia="黑体" w:cs="黑体"/>
                <w:spacing w:val="-2"/>
                <w:sz w:val="24"/>
                <w:szCs w:val="24"/>
              </w:rPr>
              <w:t>工作内容</w:t>
            </w:r>
          </w:p>
        </w:tc>
        <w:tc>
          <w:tcPr>
            <w:tcW w:w="3347" w:type="dxa"/>
            <w:vAlign w:val="top"/>
          </w:tcPr>
          <w:p>
            <w:pPr>
              <w:spacing w:before="179" w:line="222" w:lineRule="auto"/>
              <w:ind w:left="1199"/>
              <w:rPr>
                <w:rFonts w:ascii="黑体" w:hAnsi="黑体" w:eastAsia="黑体" w:cs="黑体"/>
                <w:sz w:val="24"/>
                <w:szCs w:val="24"/>
              </w:rPr>
            </w:pPr>
            <w:r>
              <w:rPr>
                <w:rFonts w:ascii="黑体" w:hAnsi="黑体" w:eastAsia="黑体" w:cs="黑体"/>
                <w:spacing w:val="-2"/>
                <w:sz w:val="24"/>
                <w:szCs w:val="24"/>
              </w:rPr>
              <w:t>评价标准</w:t>
            </w:r>
          </w:p>
        </w:tc>
        <w:tc>
          <w:tcPr>
            <w:tcW w:w="1130" w:type="dxa"/>
            <w:vAlign w:val="top"/>
          </w:tcPr>
          <w:p>
            <w:pPr>
              <w:spacing w:before="50" w:line="201" w:lineRule="auto"/>
              <w:ind w:left="332"/>
              <w:rPr>
                <w:rFonts w:ascii="黑体" w:hAnsi="黑体" w:eastAsia="黑体" w:cs="黑体"/>
                <w:sz w:val="24"/>
                <w:szCs w:val="24"/>
              </w:rPr>
            </w:pPr>
            <w:r>
              <w:rPr>
                <w:rFonts w:ascii="黑体" w:hAnsi="黑体" w:eastAsia="黑体" w:cs="黑体"/>
                <w:spacing w:val="-3"/>
                <w:sz w:val="24"/>
                <w:szCs w:val="24"/>
              </w:rPr>
              <w:t>完成</w:t>
            </w:r>
          </w:p>
          <w:p>
            <w:pPr>
              <w:spacing w:line="213" w:lineRule="auto"/>
              <w:ind w:left="340"/>
              <w:rPr>
                <w:rFonts w:ascii="黑体" w:hAnsi="黑体" w:eastAsia="黑体" w:cs="黑体"/>
                <w:sz w:val="24"/>
                <w:szCs w:val="24"/>
              </w:rPr>
            </w:pPr>
            <w:r>
              <w:rPr>
                <w:rFonts w:ascii="黑体" w:hAnsi="黑体" w:eastAsia="黑体" w:cs="黑体"/>
                <w:spacing w:val="-5"/>
                <w:sz w:val="24"/>
                <w:szCs w:val="24"/>
              </w:rPr>
              <w:t>时限</w:t>
            </w:r>
          </w:p>
        </w:tc>
        <w:tc>
          <w:tcPr>
            <w:tcW w:w="1938" w:type="dxa"/>
            <w:vAlign w:val="top"/>
          </w:tcPr>
          <w:p>
            <w:pPr>
              <w:spacing w:before="50" w:line="207" w:lineRule="auto"/>
              <w:ind w:left="497" w:right="248" w:hanging="242"/>
              <w:rPr>
                <w:rFonts w:ascii="黑体" w:hAnsi="黑体" w:eastAsia="黑体" w:cs="黑体"/>
                <w:sz w:val="24"/>
                <w:szCs w:val="24"/>
              </w:rPr>
            </w:pPr>
            <w:r>
              <w:rPr>
                <w:rFonts w:hint="eastAsia" w:ascii="黑体" w:hAnsi="黑体" w:eastAsia="黑体" w:cs="黑体"/>
                <w:spacing w:val="-2"/>
                <w:sz w:val="24"/>
                <w:szCs w:val="24"/>
                <w:lang w:val="en-US" w:eastAsia="zh-CN"/>
              </w:rPr>
              <w:t>市</w:t>
            </w:r>
            <w:r>
              <w:rPr>
                <w:rFonts w:ascii="黑体" w:hAnsi="黑体" w:eastAsia="黑体" w:cs="黑体"/>
                <w:spacing w:val="-2"/>
                <w:sz w:val="24"/>
                <w:szCs w:val="24"/>
              </w:rPr>
              <w:t>卫生健康委</w:t>
            </w:r>
            <w:r>
              <w:rPr>
                <w:rFonts w:ascii="黑体" w:hAnsi="黑体" w:eastAsia="黑体" w:cs="黑体"/>
                <w:spacing w:val="-3"/>
                <w:sz w:val="24"/>
                <w:szCs w:val="24"/>
              </w:rPr>
              <w:t>责任</w:t>
            </w:r>
            <w:r>
              <w:rPr>
                <w:rFonts w:hint="eastAsia" w:ascii="黑体" w:hAnsi="黑体" w:eastAsia="黑体" w:cs="黑体"/>
                <w:spacing w:val="-3"/>
                <w:sz w:val="24"/>
                <w:szCs w:val="24"/>
                <w:lang w:val="en-US" w:eastAsia="zh-CN"/>
              </w:rPr>
              <w:t>科室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087" w:hRule="atLeast"/>
          <w:jc w:val="center"/>
        </w:trPr>
        <w:tc>
          <w:tcPr>
            <w:tcW w:w="460" w:type="dxa"/>
            <w:vAlign w:val="top"/>
          </w:tcPr>
          <w:p>
            <w:pPr>
              <w:spacing w:line="287" w:lineRule="auto"/>
              <w:rPr>
                <w:rFonts w:ascii="Arial"/>
                <w:sz w:val="21"/>
              </w:rPr>
            </w:pPr>
          </w:p>
          <w:p>
            <w:pPr>
              <w:spacing w:line="288" w:lineRule="auto"/>
              <w:rPr>
                <w:rFonts w:ascii="Arial"/>
                <w:sz w:val="21"/>
              </w:rPr>
            </w:pPr>
          </w:p>
          <w:p>
            <w:pPr>
              <w:spacing w:line="288" w:lineRule="auto"/>
              <w:rPr>
                <w:rFonts w:ascii="Arial"/>
                <w:sz w:val="21"/>
              </w:rPr>
            </w:pPr>
          </w:p>
          <w:p>
            <w:pPr>
              <w:pStyle w:val="14"/>
              <w:spacing w:before="68" w:line="242" w:lineRule="auto"/>
              <w:ind w:left="185"/>
            </w:pPr>
            <w:r>
              <w:rPr>
                <w:rFonts w:ascii="Times New Roman" w:hAnsi="Times New Roman"/>
              </w:rPr>
              <w:t>3</w:t>
            </w:r>
          </w:p>
        </w:tc>
        <w:tc>
          <w:tcPr>
            <w:tcW w:w="732" w:type="dxa"/>
            <w:vAlign w:val="top"/>
          </w:tcPr>
          <w:p>
            <w:pPr>
              <w:spacing w:line="477" w:lineRule="auto"/>
              <w:rPr>
                <w:rFonts w:ascii="Arial"/>
                <w:sz w:val="21"/>
              </w:rPr>
            </w:pPr>
          </w:p>
          <w:p>
            <w:pPr>
              <w:pStyle w:val="14"/>
              <w:spacing w:before="69" w:line="224" w:lineRule="auto"/>
              <w:ind w:left="157"/>
            </w:pPr>
            <w:r>
              <w:rPr>
                <w:spacing w:val="-2"/>
              </w:rPr>
              <w:t>推进</w:t>
            </w:r>
          </w:p>
          <w:p>
            <w:pPr>
              <w:pStyle w:val="14"/>
              <w:spacing w:before="4" w:line="222" w:lineRule="auto"/>
              <w:ind w:left="158"/>
            </w:pPr>
            <w:r>
              <w:rPr>
                <w:spacing w:val="-2"/>
              </w:rPr>
              <w:t>专病</w:t>
            </w:r>
          </w:p>
          <w:p>
            <w:pPr>
              <w:pStyle w:val="14"/>
              <w:spacing w:before="6" w:line="222" w:lineRule="auto"/>
              <w:ind w:left="177"/>
            </w:pPr>
            <w:r>
              <w:rPr>
                <w:spacing w:val="-7"/>
              </w:rPr>
              <w:t>中心</w:t>
            </w:r>
          </w:p>
          <w:p>
            <w:pPr>
              <w:pStyle w:val="14"/>
              <w:spacing w:before="8" w:line="223" w:lineRule="auto"/>
              <w:ind w:left="160"/>
            </w:pPr>
            <w:r>
              <w:rPr>
                <w:spacing w:val="-3"/>
              </w:rPr>
              <w:t>建设</w:t>
            </w:r>
          </w:p>
        </w:tc>
        <w:tc>
          <w:tcPr>
            <w:tcW w:w="3366" w:type="dxa"/>
            <w:vAlign w:val="top"/>
          </w:tcPr>
          <w:p>
            <w:pPr>
              <w:spacing w:line="303" w:lineRule="auto"/>
              <w:rPr>
                <w:rFonts w:ascii="Arial"/>
                <w:sz w:val="21"/>
              </w:rPr>
            </w:pPr>
          </w:p>
          <w:p>
            <w:pPr>
              <w:spacing w:line="304" w:lineRule="auto"/>
              <w:rPr>
                <w:rFonts w:ascii="Arial"/>
                <w:sz w:val="21"/>
              </w:rPr>
            </w:pPr>
          </w:p>
          <w:p>
            <w:pPr>
              <w:pStyle w:val="14"/>
              <w:spacing w:before="68" w:line="235" w:lineRule="auto"/>
              <w:ind w:left="113" w:right="103" w:firstLine="1"/>
              <w:rPr>
                <w:rFonts w:hint="eastAsia" w:eastAsia="宋体"/>
                <w:lang w:val="en-US" w:eastAsia="zh-CN"/>
              </w:rPr>
            </w:pPr>
            <w:r>
              <w:rPr>
                <w:rFonts w:hint="eastAsia"/>
                <w:spacing w:val="-3"/>
                <w:lang w:val="en-US" w:eastAsia="zh-CN"/>
              </w:rPr>
              <w:t>在</w:t>
            </w:r>
            <w:r>
              <w:rPr>
                <w:spacing w:val="-3"/>
              </w:rPr>
              <w:t>冠心病、脑卒中、</w:t>
            </w:r>
            <w:r>
              <w:rPr>
                <w:rFonts w:hint="eastAsia"/>
                <w:spacing w:val="-3"/>
                <w:lang w:val="en-US" w:eastAsia="zh-CN"/>
              </w:rPr>
              <w:t>肿瘤、</w:t>
            </w:r>
            <w:r>
              <w:rPr>
                <w:spacing w:val="-3"/>
              </w:rPr>
              <w:t>乳腺</w:t>
            </w:r>
            <w:r>
              <w:rPr>
                <w:rFonts w:hint="eastAsia"/>
                <w:spacing w:val="-3"/>
                <w:lang w:val="en-US" w:eastAsia="zh-CN"/>
              </w:rPr>
              <w:t>疾病等方面试点建设市级专病中心</w:t>
            </w:r>
            <w:r>
              <w:rPr>
                <w:rFonts w:hint="eastAsia"/>
                <w:spacing w:val="-10"/>
                <w:lang w:val="en-US" w:eastAsia="zh-CN"/>
              </w:rPr>
              <w:t>。</w:t>
            </w:r>
          </w:p>
        </w:tc>
        <w:tc>
          <w:tcPr>
            <w:tcW w:w="3443" w:type="dxa"/>
            <w:vAlign w:val="top"/>
          </w:tcPr>
          <w:p>
            <w:pPr>
              <w:pStyle w:val="14"/>
              <w:spacing w:before="158" w:line="229" w:lineRule="auto"/>
              <w:ind w:left="111" w:right="179"/>
            </w:pPr>
            <w:r>
              <w:rPr>
                <w:spacing w:val="-1"/>
              </w:rPr>
              <w:t>①医疗机构要打破专业设置壁垒，聚焦发病率高、对群众健康危害大的重大疾病，建设专病中心，为患者提供重大疾病诊疗一站式服务。②医疗机构及相关专科要全面整合资源并合理配置，提升专科运营管</w:t>
            </w:r>
            <w:r>
              <w:rPr>
                <w:spacing w:val="-2"/>
              </w:rPr>
              <w:t>理能力和整体运行效能。</w:t>
            </w:r>
          </w:p>
        </w:tc>
        <w:tc>
          <w:tcPr>
            <w:tcW w:w="3347" w:type="dxa"/>
            <w:vAlign w:val="top"/>
          </w:tcPr>
          <w:p>
            <w:pPr>
              <w:pStyle w:val="14"/>
              <w:spacing w:before="8" w:line="223" w:lineRule="auto"/>
              <w:ind w:left="112" w:right="100"/>
              <w:rPr>
                <w:spacing w:val="-2"/>
              </w:rPr>
            </w:pPr>
          </w:p>
          <w:p>
            <w:pPr>
              <w:pStyle w:val="14"/>
              <w:spacing w:before="8" w:line="223" w:lineRule="auto"/>
              <w:ind w:left="112" w:right="100"/>
              <w:rPr>
                <w:spacing w:val="-2"/>
              </w:rPr>
            </w:pPr>
          </w:p>
          <w:p>
            <w:pPr>
              <w:pStyle w:val="14"/>
              <w:spacing w:before="8" w:line="223" w:lineRule="auto"/>
              <w:ind w:left="112" w:right="100"/>
              <w:rPr>
                <w:spacing w:val="-2"/>
              </w:rPr>
            </w:pPr>
          </w:p>
          <w:p>
            <w:pPr>
              <w:pStyle w:val="14"/>
              <w:spacing w:before="8" w:line="223" w:lineRule="auto"/>
              <w:ind w:left="112" w:right="100"/>
            </w:pPr>
            <w:r>
              <w:rPr>
                <w:spacing w:val="-2"/>
              </w:rPr>
              <w:t>各专病中心在组织形式、运行机制等方面取得创新性突破</w:t>
            </w:r>
            <w:r>
              <w:rPr>
                <w:spacing w:val="-1"/>
              </w:rPr>
              <w:t>。</w:t>
            </w:r>
          </w:p>
        </w:tc>
        <w:tc>
          <w:tcPr>
            <w:tcW w:w="1130" w:type="dxa"/>
            <w:vAlign w:val="top"/>
          </w:tcPr>
          <w:p>
            <w:pPr>
              <w:spacing w:line="287" w:lineRule="auto"/>
              <w:rPr>
                <w:rFonts w:ascii="Arial"/>
                <w:sz w:val="21"/>
              </w:rPr>
            </w:pPr>
          </w:p>
          <w:p>
            <w:pPr>
              <w:spacing w:line="288" w:lineRule="auto"/>
              <w:rPr>
                <w:rFonts w:ascii="Arial"/>
                <w:sz w:val="21"/>
              </w:rPr>
            </w:pPr>
          </w:p>
          <w:p>
            <w:pPr>
              <w:spacing w:line="288" w:lineRule="auto"/>
              <w:rPr>
                <w:rFonts w:ascii="Arial"/>
                <w:sz w:val="21"/>
              </w:rPr>
            </w:pPr>
          </w:p>
          <w:p>
            <w:pPr>
              <w:pStyle w:val="14"/>
              <w:spacing w:before="69" w:line="221" w:lineRule="auto"/>
              <w:ind w:left="127"/>
            </w:pPr>
            <w:r>
              <w:rPr>
                <w:rFonts w:ascii="Times New Roman" w:hAnsi="Times New Roman"/>
                <w:spacing w:val="-2"/>
              </w:rPr>
              <w:t>2025</w:t>
            </w:r>
            <w:r>
              <w:rPr>
                <w:spacing w:val="-2"/>
              </w:rPr>
              <w:t>年底</w:t>
            </w:r>
          </w:p>
        </w:tc>
        <w:tc>
          <w:tcPr>
            <w:tcW w:w="1938" w:type="dxa"/>
            <w:vAlign w:val="top"/>
          </w:tcPr>
          <w:p>
            <w:pPr>
              <w:spacing w:line="287" w:lineRule="auto"/>
              <w:rPr>
                <w:rFonts w:ascii="Arial"/>
                <w:sz w:val="21"/>
              </w:rPr>
            </w:pPr>
          </w:p>
          <w:p>
            <w:pPr>
              <w:spacing w:line="288" w:lineRule="auto"/>
              <w:rPr>
                <w:rFonts w:ascii="Arial"/>
                <w:sz w:val="21"/>
              </w:rPr>
            </w:pPr>
          </w:p>
          <w:p>
            <w:pPr>
              <w:spacing w:line="288" w:lineRule="auto"/>
              <w:rPr>
                <w:rFonts w:ascii="Arial"/>
                <w:sz w:val="21"/>
              </w:rPr>
            </w:pPr>
          </w:p>
          <w:p>
            <w:pPr>
              <w:pStyle w:val="14"/>
              <w:spacing w:before="68" w:line="223" w:lineRule="auto"/>
              <w:ind w:left="668"/>
              <w:rPr>
                <w:rFonts w:hint="eastAsia" w:eastAsia="宋体"/>
                <w:lang w:eastAsia="zh-CN"/>
              </w:rPr>
            </w:pPr>
            <w:r>
              <w:rPr>
                <w:rFonts w:hint="eastAsia"/>
                <w:spacing w:val="-4"/>
                <w:lang w:eastAsia="zh-CN"/>
              </w:rPr>
              <w:t>医政科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84" w:hRule="atLeast"/>
          <w:jc w:val="center"/>
        </w:trPr>
        <w:tc>
          <w:tcPr>
            <w:tcW w:w="460"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14"/>
              <w:spacing w:before="69" w:line="276" w:lineRule="exact"/>
              <w:ind w:left="179"/>
            </w:pPr>
            <w:r>
              <w:rPr>
                <w:rFonts w:ascii="Times New Roman" w:hAnsi="Times New Roman"/>
                <w:position w:val="1"/>
              </w:rPr>
              <w:t>4</w:t>
            </w:r>
          </w:p>
        </w:tc>
        <w:tc>
          <w:tcPr>
            <w:tcW w:w="732" w:type="dxa"/>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14"/>
              <w:spacing w:before="68" w:line="223" w:lineRule="auto"/>
              <w:ind w:left="157"/>
            </w:pPr>
            <w:r>
              <w:rPr>
                <w:spacing w:val="-2"/>
              </w:rPr>
              <w:t>深化</w:t>
            </w:r>
          </w:p>
          <w:p>
            <w:pPr>
              <w:pStyle w:val="14"/>
              <w:spacing w:before="5" w:line="222" w:lineRule="auto"/>
              <w:ind w:left="156"/>
            </w:pPr>
            <w:r>
              <w:rPr>
                <w:spacing w:val="-2"/>
              </w:rPr>
              <w:t>住院</w:t>
            </w:r>
          </w:p>
          <w:p>
            <w:pPr>
              <w:pStyle w:val="14"/>
              <w:spacing w:before="6" w:line="223" w:lineRule="auto"/>
              <w:ind w:left="164"/>
            </w:pPr>
            <w:r>
              <w:rPr>
                <w:spacing w:val="-4"/>
              </w:rPr>
              <w:t>患者</w:t>
            </w:r>
          </w:p>
          <w:p>
            <w:pPr>
              <w:pStyle w:val="14"/>
              <w:spacing w:before="8" w:line="221" w:lineRule="auto"/>
              <w:ind w:left="169"/>
            </w:pPr>
            <w:r>
              <w:rPr>
                <w:spacing w:val="-5"/>
              </w:rPr>
              <w:t>临床</w:t>
            </w:r>
          </w:p>
          <w:p>
            <w:pPr>
              <w:pStyle w:val="14"/>
              <w:spacing w:before="8" w:line="221" w:lineRule="auto"/>
              <w:ind w:left="159"/>
            </w:pPr>
            <w:r>
              <w:rPr>
                <w:spacing w:val="-2"/>
              </w:rPr>
              <w:t>路径</w:t>
            </w:r>
          </w:p>
          <w:p>
            <w:pPr>
              <w:pStyle w:val="14"/>
              <w:spacing w:before="8" w:line="221" w:lineRule="auto"/>
              <w:ind w:left="161"/>
            </w:pPr>
            <w:r>
              <w:rPr>
                <w:spacing w:val="-3"/>
              </w:rPr>
              <w:t>管理</w:t>
            </w:r>
          </w:p>
        </w:tc>
        <w:tc>
          <w:tcPr>
            <w:tcW w:w="3366" w:type="dxa"/>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14"/>
              <w:spacing w:before="68" w:line="229" w:lineRule="auto"/>
              <w:ind w:left="125" w:right="156" w:hanging="14"/>
            </w:pPr>
            <w:r>
              <w:rPr>
                <w:spacing w:val="-2"/>
              </w:rPr>
              <w:t>①三级医院</w:t>
            </w:r>
            <w:r>
              <w:rPr>
                <w:rFonts w:ascii="Times New Roman" w:hAnsi="Times New Roman"/>
                <w:spacing w:val="-2"/>
              </w:rPr>
              <w:t>50%</w:t>
            </w:r>
            <w:r>
              <w:rPr>
                <w:spacing w:val="-2"/>
              </w:rPr>
              <w:t>出院患者、二级医</w:t>
            </w:r>
            <w:r>
              <w:rPr>
                <w:spacing w:val="-3"/>
              </w:rPr>
              <w:t>院</w:t>
            </w:r>
            <w:r>
              <w:rPr>
                <w:rFonts w:ascii="Times New Roman" w:hAnsi="Times New Roman"/>
                <w:spacing w:val="-3"/>
              </w:rPr>
              <w:t>70%</w:t>
            </w:r>
            <w:r>
              <w:rPr>
                <w:spacing w:val="-3"/>
              </w:rPr>
              <w:t>出院患者按照临床路径管</w:t>
            </w:r>
          </w:p>
          <w:p>
            <w:pPr>
              <w:pStyle w:val="14"/>
              <w:spacing w:line="227" w:lineRule="auto"/>
              <w:ind w:left="114"/>
            </w:pPr>
            <w:r>
              <w:rPr>
                <w:spacing w:val="-10"/>
              </w:rPr>
              <w:t>理。</w:t>
            </w:r>
          </w:p>
          <w:p>
            <w:pPr>
              <w:pStyle w:val="14"/>
              <w:spacing w:before="2" w:line="229" w:lineRule="auto"/>
              <w:ind w:left="111" w:right="103" w:hanging="1"/>
            </w:pPr>
            <w:r>
              <w:rPr>
                <w:spacing w:val="-1"/>
              </w:rPr>
              <w:t>②城市医疗集团和紧密型县域医共体探索建立一体化临床路径，各级医疗机构分工协作，为患者提供顺</w:t>
            </w:r>
            <w:r>
              <w:rPr>
                <w:spacing w:val="-2"/>
              </w:rPr>
              <w:t>畅转诊和连续诊疗服务。</w:t>
            </w:r>
          </w:p>
        </w:tc>
        <w:tc>
          <w:tcPr>
            <w:tcW w:w="3443" w:type="dxa"/>
            <w:vAlign w:val="center"/>
          </w:tcPr>
          <w:p>
            <w:pPr>
              <w:pStyle w:val="14"/>
              <w:spacing w:before="25" w:line="229" w:lineRule="auto"/>
              <w:ind w:left="115" w:right="179" w:hanging="3"/>
              <w:jc w:val="both"/>
            </w:pPr>
            <w:r>
              <w:rPr>
                <w:spacing w:val="-1"/>
              </w:rPr>
              <w:t>①进一步扩</w:t>
            </w:r>
            <w:r>
              <w:rPr>
                <w:spacing w:val="-2"/>
              </w:rPr>
              <w:t>大实施临床路径病种覆盖面。</w:t>
            </w:r>
          </w:p>
          <w:p>
            <w:pPr>
              <w:pStyle w:val="14"/>
              <w:spacing w:before="1" w:line="227" w:lineRule="auto"/>
              <w:ind w:left="114" w:right="179" w:hanging="3"/>
              <w:jc w:val="both"/>
            </w:pPr>
            <w:r>
              <w:rPr>
                <w:spacing w:val="-1"/>
              </w:rPr>
              <w:t>②医疗机构要结合工作实际，参考最新诊疗指南、临床技术操作规范及基本药物目录等，形成具有可操作性的本地化临床路径和标准服务</w:t>
            </w:r>
            <w:r>
              <w:rPr>
                <w:spacing w:val="-8"/>
              </w:rPr>
              <w:t>流程。</w:t>
            </w:r>
            <w:r>
              <w:rPr>
                <w:spacing w:val="-1"/>
              </w:rPr>
              <w:t>加强入径评估和医务</w:t>
            </w:r>
            <w:r>
              <w:rPr>
                <w:spacing w:val="-5"/>
              </w:rPr>
              <w:t>人员培训。</w:t>
            </w:r>
          </w:p>
          <w:p>
            <w:pPr>
              <w:pStyle w:val="14"/>
              <w:spacing w:before="1" w:line="228" w:lineRule="auto"/>
              <w:ind w:left="111" w:right="179"/>
              <w:jc w:val="both"/>
            </w:pPr>
            <w:r>
              <w:rPr>
                <w:rFonts w:hint="eastAsia"/>
                <w:spacing w:val="-1"/>
                <w:lang w:val="en-US" w:eastAsia="zh-CN"/>
              </w:rPr>
              <w:t>③</w:t>
            </w:r>
            <w:r>
              <w:rPr>
                <w:spacing w:val="-1"/>
              </w:rPr>
              <w:t>在城市医疗集团和紧密型县域医共体探索建立一体化临床路径，为患者提供顺畅转诊和连续诊疗服</w:t>
            </w:r>
          </w:p>
          <w:p>
            <w:pPr>
              <w:pStyle w:val="14"/>
              <w:spacing w:before="1" w:line="200" w:lineRule="auto"/>
              <w:ind w:left="114"/>
              <w:jc w:val="both"/>
            </w:pPr>
            <w:r>
              <w:rPr>
                <w:spacing w:val="-10"/>
              </w:rPr>
              <w:t>务。</w:t>
            </w:r>
          </w:p>
        </w:tc>
        <w:tc>
          <w:tcPr>
            <w:tcW w:w="3347" w:type="dxa"/>
            <w:vAlign w:val="top"/>
          </w:tcPr>
          <w:p>
            <w:pPr>
              <w:spacing w:line="474" w:lineRule="auto"/>
              <w:rPr>
                <w:rFonts w:ascii="Arial"/>
                <w:sz w:val="21"/>
              </w:rPr>
            </w:pPr>
          </w:p>
          <w:p>
            <w:pPr>
              <w:pStyle w:val="14"/>
              <w:spacing w:before="68" w:line="227" w:lineRule="auto"/>
              <w:ind w:left="117" w:right="101" w:hanging="4"/>
            </w:pPr>
            <w:r>
              <w:rPr>
                <w:spacing w:val="-2"/>
              </w:rPr>
              <w:t>①推进辖区内二级以上医院、城市医疗集团、紧密型县域医共体临床路径管理，扩大</w:t>
            </w:r>
            <w:r>
              <w:rPr>
                <w:spacing w:val="-1"/>
              </w:rPr>
              <w:t>实施临床路径病种覆盖面。</w:t>
            </w:r>
          </w:p>
          <w:p>
            <w:pPr>
              <w:pStyle w:val="14"/>
              <w:spacing w:before="8" w:line="226" w:lineRule="auto"/>
              <w:ind w:left="112" w:right="134"/>
            </w:pPr>
            <w:r>
              <w:rPr>
                <w:spacing w:val="-2"/>
              </w:rPr>
              <w:t>②三级医院</w:t>
            </w:r>
            <w:r>
              <w:rPr>
                <w:rFonts w:ascii="Times New Roman" w:hAnsi="Times New Roman"/>
                <w:spacing w:val="-2"/>
              </w:rPr>
              <w:t>50%</w:t>
            </w:r>
            <w:r>
              <w:rPr>
                <w:spacing w:val="-2"/>
              </w:rPr>
              <w:t>出院患者、二级医院</w:t>
            </w:r>
            <w:r>
              <w:rPr>
                <w:rFonts w:ascii="Times New Roman" w:hAnsi="Times New Roman"/>
                <w:spacing w:val="-2"/>
              </w:rPr>
              <w:t>70%</w:t>
            </w:r>
            <w:r>
              <w:rPr>
                <w:spacing w:val="-2"/>
              </w:rPr>
              <w:t>出院患者按照临</w:t>
            </w:r>
            <w:r>
              <w:rPr>
                <w:spacing w:val="-1"/>
              </w:rPr>
              <w:t>床路径管理。</w:t>
            </w:r>
          </w:p>
          <w:p>
            <w:pPr>
              <w:pStyle w:val="14"/>
              <w:spacing w:before="6" w:line="226" w:lineRule="auto"/>
              <w:ind w:left="114" w:right="101" w:hanging="2"/>
            </w:pPr>
            <w:r>
              <w:rPr>
                <w:spacing w:val="-2"/>
              </w:rPr>
              <w:t>③城市医疗集团和紧密型</w:t>
            </w:r>
            <w:r>
              <w:rPr>
                <w:spacing w:val="-3"/>
              </w:rPr>
              <w:t>县域医共体建立一体化临床路径。</w:t>
            </w:r>
          </w:p>
        </w:tc>
        <w:tc>
          <w:tcPr>
            <w:tcW w:w="1130"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14"/>
              <w:spacing w:before="68" w:line="221" w:lineRule="auto"/>
              <w:ind w:left="127"/>
            </w:pPr>
            <w:r>
              <w:rPr>
                <w:rFonts w:ascii="Times New Roman" w:hAnsi="Times New Roman"/>
                <w:spacing w:val="-2"/>
              </w:rPr>
              <w:t>2025</w:t>
            </w:r>
            <w:r>
              <w:rPr>
                <w:spacing w:val="-2"/>
              </w:rPr>
              <w:t>年底</w:t>
            </w:r>
          </w:p>
        </w:tc>
        <w:tc>
          <w:tcPr>
            <w:tcW w:w="1938"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pStyle w:val="14"/>
              <w:spacing w:before="68" w:line="223" w:lineRule="auto"/>
              <w:ind w:left="668"/>
              <w:rPr>
                <w:rFonts w:hint="eastAsia" w:eastAsia="宋体"/>
                <w:lang w:eastAsia="zh-CN"/>
              </w:rPr>
            </w:pPr>
            <w:r>
              <w:rPr>
                <w:rFonts w:hint="eastAsia"/>
                <w:spacing w:val="-4"/>
                <w:lang w:eastAsia="zh-CN"/>
              </w:rPr>
              <w:t>医政科</w:t>
            </w:r>
          </w:p>
          <w:p>
            <w:pPr>
              <w:pStyle w:val="14"/>
              <w:spacing w:before="6" w:line="221" w:lineRule="auto"/>
              <w:ind w:left="238"/>
            </w:pPr>
            <w:r>
              <w:rPr>
                <w:rFonts w:hint="eastAsia"/>
                <w:spacing w:val="-1"/>
                <w:lang w:eastAsia="zh-CN"/>
              </w:rPr>
              <w:t>基层卫生健康科</w:t>
            </w:r>
          </w:p>
          <w:p>
            <w:pPr>
              <w:pStyle w:val="14"/>
              <w:spacing w:before="9" w:line="222" w:lineRule="auto"/>
              <w:ind w:left="152"/>
              <w:jc w:val="center"/>
              <w:rPr>
                <w:rFonts w:hint="eastAsia" w:eastAsia="宋体"/>
                <w:lang w:eastAsia="zh-CN"/>
              </w:rPr>
            </w:pPr>
            <w:r>
              <w:rPr>
                <w:rFonts w:hint="eastAsia"/>
                <w:spacing w:val="-4"/>
                <w:highlight w:val="none"/>
                <w:lang w:eastAsia="zh-CN"/>
              </w:rPr>
              <w:t>中医药管理科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87" w:hRule="atLeast"/>
          <w:jc w:val="center"/>
        </w:trPr>
        <w:tc>
          <w:tcPr>
            <w:tcW w:w="460" w:type="dxa"/>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14"/>
              <w:spacing w:before="68" w:line="242" w:lineRule="auto"/>
              <w:ind w:left="185"/>
            </w:pPr>
            <w:r>
              <w:rPr>
                <w:rFonts w:ascii="Times New Roman" w:hAnsi="Times New Roman"/>
              </w:rPr>
              <w:t>5</w:t>
            </w:r>
          </w:p>
        </w:tc>
        <w:tc>
          <w:tcPr>
            <w:tcW w:w="732" w:type="dxa"/>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14"/>
              <w:spacing w:before="68" w:line="224" w:lineRule="auto"/>
              <w:ind w:left="157"/>
            </w:pPr>
            <w:r>
              <w:rPr>
                <w:spacing w:val="-2"/>
              </w:rPr>
              <w:t>加强</w:t>
            </w:r>
          </w:p>
          <w:p>
            <w:pPr>
              <w:pStyle w:val="14"/>
              <w:spacing w:before="4" w:line="222" w:lineRule="auto"/>
              <w:ind w:left="159"/>
            </w:pPr>
            <w:r>
              <w:rPr>
                <w:spacing w:val="-2"/>
              </w:rPr>
              <w:t>单病</w:t>
            </w:r>
          </w:p>
          <w:p>
            <w:pPr>
              <w:pStyle w:val="14"/>
              <w:spacing w:before="9" w:line="222" w:lineRule="auto"/>
              <w:ind w:left="157"/>
            </w:pPr>
            <w:r>
              <w:rPr>
                <w:spacing w:val="-2"/>
              </w:rPr>
              <w:t>种质</w:t>
            </w:r>
          </w:p>
          <w:p>
            <w:pPr>
              <w:pStyle w:val="14"/>
              <w:spacing w:before="6" w:line="221" w:lineRule="auto"/>
              <w:ind w:left="157"/>
            </w:pPr>
            <w:r>
              <w:rPr>
                <w:spacing w:val="-2"/>
              </w:rPr>
              <w:t>量管</w:t>
            </w:r>
          </w:p>
          <w:p>
            <w:pPr>
              <w:pStyle w:val="14"/>
              <w:spacing w:before="8" w:line="223" w:lineRule="auto"/>
              <w:ind w:left="160"/>
            </w:pPr>
            <w:r>
              <w:rPr>
                <w:spacing w:val="-3"/>
              </w:rPr>
              <w:t>理与</w:t>
            </w:r>
          </w:p>
          <w:p>
            <w:pPr>
              <w:pStyle w:val="14"/>
              <w:spacing w:before="7" w:line="222" w:lineRule="auto"/>
              <w:ind w:left="156"/>
            </w:pPr>
            <w:r>
              <w:rPr>
                <w:spacing w:val="-2"/>
              </w:rPr>
              <w:t>控制</w:t>
            </w:r>
          </w:p>
        </w:tc>
        <w:tc>
          <w:tcPr>
            <w:tcW w:w="3366" w:type="dxa"/>
            <w:vAlign w:val="top"/>
          </w:tcPr>
          <w:p>
            <w:pPr>
              <w:spacing w:line="479" w:lineRule="auto"/>
              <w:rPr>
                <w:rFonts w:ascii="Arial"/>
                <w:sz w:val="21"/>
              </w:rPr>
            </w:pPr>
          </w:p>
          <w:p>
            <w:pPr>
              <w:pStyle w:val="14"/>
              <w:spacing w:before="69" w:line="228" w:lineRule="auto"/>
              <w:ind w:left="111" w:right="103"/>
            </w:pPr>
            <w:r>
              <w:rPr>
                <w:spacing w:val="-1"/>
              </w:rPr>
              <w:t>①二级以上综合、专科医院将本院开展的所有国家单病种质量管理病种（技术）纳入本机构单病种质量</w:t>
            </w:r>
            <w:r>
              <w:rPr>
                <w:spacing w:val="-8"/>
              </w:rPr>
              <w:t>监测。</w:t>
            </w:r>
          </w:p>
          <w:p>
            <w:pPr>
              <w:pStyle w:val="14"/>
              <w:spacing w:before="1" w:line="228" w:lineRule="auto"/>
              <w:ind w:left="112" w:right="103" w:hanging="2"/>
            </w:pPr>
            <w:r>
              <w:rPr>
                <w:spacing w:val="-1"/>
              </w:rPr>
              <w:t>②单病种病例信息及时上报率和核</w:t>
            </w:r>
            <w:r>
              <w:rPr>
                <w:spacing w:val="-2"/>
              </w:rPr>
              <w:t>心监测指标完成率较</w:t>
            </w:r>
            <w:r>
              <w:rPr>
                <w:rFonts w:ascii="Times New Roman" w:hAnsi="Times New Roman"/>
                <w:spacing w:val="-2"/>
              </w:rPr>
              <w:t>2024</w:t>
            </w:r>
            <w:r>
              <w:rPr>
                <w:spacing w:val="-2"/>
              </w:rPr>
              <w:t>年明显</w:t>
            </w:r>
            <w:r>
              <w:rPr>
                <w:spacing w:val="-8"/>
              </w:rPr>
              <w:t>提高。</w:t>
            </w:r>
          </w:p>
          <w:p>
            <w:pPr>
              <w:pStyle w:val="14"/>
              <w:spacing w:before="1" w:line="229" w:lineRule="auto"/>
              <w:ind w:left="125" w:right="103" w:hanging="15"/>
            </w:pPr>
            <w:r>
              <w:rPr>
                <w:spacing w:val="-1"/>
              </w:rPr>
              <w:t>③单病种质量管理病种（技术）住</w:t>
            </w:r>
            <w:r>
              <w:rPr>
                <w:spacing w:val="-5"/>
              </w:rPr>
              <w:t>院次均费用较</w:t>
            </w:r>
            <w:r>
              <w:rPr>
                <w:rFonts w:ascii="Times New Roman" w:hAnsi="Times New Roman"/>
                <w:spacing w:val="-5"/>
              </w:rPr>
              <w:t>2024</w:t>
            </w:r>
            <w:r>
              <w:rPr>
                <w:spacing w:val="-5"/>
              </w:rPr>
              <w:t>年下降。</w:t>
            </w:r>
          </w:p>
        </w:tc>
        <w:tc>
          <w:tcPr>
            <w:tcW w:w="3443" w:type="dxa"/>
            <w:vAlign w:val="top"/>
          </w:tcPr>
          <w:p>
            <w:pPr>
              <w:spacing w:line="303" w:lineRule="auto"/>
              <w:rPr>
                <w:rFonts w:ascii="Arial"/>
                <w:sz w:val="21"/>
              </w:rPr>
            </w:pPr>
          </w:p>
          <w:p>
            <w:pPr>
              <w:spacing w:line="303" w:lineRule="auto"/>
              <w:rPr>
                <w:rFonts w:ascii="Arial"/>
                <w:sz w:val="21"/>
              </w:rPr>
            </w:pPr>
          </w:p>
          <w:p>
            <w:pPr>
              <w:pStyle w:val="14"/>
              <w:spacing w:before="68" w:line="228" w:lineRule="auto"/>
              <w:ind w:left="112" w:right="179"/>
            </w:pPr>
            <w:r>
              <w:rPr>
                <w:spacing w:val="-1"/>
              </w:rPr>
              <w:t>①扩充单</w:t>
            </w:r>
            <w:r>
              <w:rPr>
                <w:spacing w:val="-2"/>
              </w:rPr>
              <w:t>病种质控工作覆盖范围。</w:t>
            </w:r>
          </w:p>
          <w:p>
            <w:pPr>
              <w:pStyle w:val="14"/>
              <w:spacing w:before="1" w:line="228" w:lineRule="auto"/>
              <w:ind w:left="112" w:right="179" w:hanging="1"/>
            </w:pPr>
            <w:r>
              <w:rPr>
                <w:spacing w:val="-1"/>
              </w:rPr>
              <w:t>②医疗机构要建立本土化单病种质量管理手册，加强人员培训，做好信息监测与上报。</w:t>
            </w:r>
          </w:p>
          <w:p>
            <w:pPr>
              <w:pStyle w:val="14"/>
              <w:spacing w:before="2" w:line="230" w:lineRule="auto"/>
              <w:ind w:left="112" w:right="179" w:hanging="1"/>
            </w:pPr>
            <w:r>
              <w:rPr>
                <w:spacing w:val="-1"/>
              </w:rPr>
              <w:t>③各级各专业质控中心要制定单病种质量监测信息项，做好数据分析</w:t>
            </w:r>
            <w:r>
              <w:rPr>
                <w:spacing w:val="-2"/>
              </w:rPr>
              <w:t>与指导。</w:t>
            </w:r>
          </w:p>
        </w:tc>
        <w:tc>
          <w:tcPr>
            <w:tcW w:w="3347" w:type="dxa"/>
            <w:vAlign w:val="center"/>
          </w:tcPr>
          <w:p>
            <w:pPr>
              <w:pStyle w:val="14"/>
              <w:spacing w:before="4" w:line="228" w:lineRule="auto"/>
              <w:ind w:left="113" w:right="28" w:hanging="1"/>
              <w:jc w:val="both"/>
            </w:pPr>
            <w:r>
              <w:rPr>
                <w:rFonts w:hint="eastAsia"/>
                <w:spacing w:val="-2"/>
                <w:lang w:val="en-US" w:eastAsia="zh-CN"/>
              </w:rPr>
              <w:t>①</w:t>
            </w:r>
            <w:r>
              <w:rPr>
                <w:spacing w:val="-2"/>
              </w:rPr>
              <w:t>二级以上综合、专科</w:t>
            </w:r>
            <w:r>
              <w:rPr>
                <w:spacing w:val="-1"/>
              </w:rPr>
              <w:t>医院将本院开展的所有国家单病</w:t>
            </w:r>
            <w:r>
              <w:rPr>
                <w:spacing w:val="-2"/>
              </w:rPr>
              <w:t>种质量管理病种（技术）纳入本机构单病种质量监测；单病种病例信</w:t>
            </w:r>
            <w:r>
              <w:rPr>
                <w:spacing w:val="-1"/>
              </w:rPr>
              <w:t>息及时上报率和核心监测指标完</w:t>
            </w:r>
            <w:r>
              <w:rPr>
                <w:spacing w:val="-2"/>
              </w:rPr>
              <w:t>成率明显提高；单病种质量管理病</w:t>
            </w:r>
            <w:r>
              <w:rPr>
                <w:spacing w:val="-11"/>
              </w:rPr>
              <w:t>种（技术）住院次均费用逐步下降。</w:t>
            </w:r>
          </w:p>
          <w:p>
            <w:pPr>
              <w:pStyle w:val="14"/>
              <w:spacing w:before="5" w:line="220" w:lineRule="auto"/>
              <w:ind w:left="114" w:right="101" w:hanging="2"/>
              <w:jc w:val="both"/>
            </w:pPr>
            <w:r>
              <w:rPr>
                <w:rFonts w:hint="eastAsia"/>
                <w:spacing w:val="-1"/>
                <w:lang w:val="en-US" w:eastAsia="zh-CN"/>
              </w:rPr>
              <w:t>②</w:t>
            </w:r>
            <w:r>
              <w:rPr>
                <w:spacing w:val="-1"/>
              </w:rPr>
              <w:t>各级各专业质控中心：加强监</w:t>
            </w:r>
            <w:r>
              <w:rPr>
                <w:spacing w:val="-2"/>
              </w:rPr>
              <w:t>测，为卫生健康行政部门开展相关</w:t>
            </w:r>
            <w:r>
              <w:rPr>
                <w:spacing w:val="-3"/>
              </w:rPr>
              <w:t>工作提供技术支持。</w:t>
            </w:r>
          </w:p>
        </w:tc>
        <w:tc>
          <w:tcPr>
            <w:tcW w:w="1130" w:type="dxa"/>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14"/>
              <w:spacing w:before="68" w:line="221" w:lineRule="auto"/>
              <w:ind w:left="127"/>
            </w:pPr>
            <w:r>
              <w:rPr>
                <w:rFonts w:ascii="Times New Roman" w:hAnsi="Times New Roman"/>
                <w:spacing w:val="-2"/>
              </w:rPr>
              <w:t>2025</w:t>
            </w:r>
            <w:r>
              <w:rPr>
                <w:spacing w:val="-2"/>
              </w:rPr>
              <w:t>年底</w:t>
            </w:r>
          </w:p>
        </w:tc>
        <w:tc>
          <w:tcPr>
            <w:tcW w:w="1938" w:type="dxa"/>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1" w:lineRule="auto"/>
              <w:rPr>
                <w:rFonts w:ascii="Arial"/>
                <w:sz w:val="21"/>
              </w:rPr>
            </w:pPr>
          </w:p>
          <w:p>
            <w:pPr>
              <w:pStyle w:val="14"/>
              <w:spacing w:before="69" w:line="223" w:lineRule="auto"/>
              <w:ind w:left="668"/>
              <w:rPr>
                <w:rFonts w:hint="eastAsia" w:eastAsia="宋体"/>
                <w:lang w:eastAsia="zh-CN"/>
              </w:rPr>
            </w:pPr>
            <w:r>
              <w:rPr>
                <w:rFonts w:hint="eastAsia"/>
                <w:spacing w:val="-4"/>
                <w:lang w:eastAsia="zh-CN"/>
              </w:rPr>
              <w:t>医政科</w:t>
            </w:r>
          </w:p>
          <w:p>
            <w:pPr>
              <w:pStyle w:val="14"/>
              <w:spacing w:before="6" w:line="221" w:lineRule="auto"/>
              <w:ind w:left="238"/>
            </w:pPr>
            <w:r>
              <w:rPr>
                <w:rFonts w:hint="eastAsia"/>
                <w:spacing w:val="-1"/>
                <w:lang w:eastAsia="zh-CN"/>
              </w:rPr>
              <w:t>基层卫生健康科</w:t>
            </w:r>
          </w:p>
          <w:p>
            <w:pPr>
              <w:pStyle w:val="14"/>
              <w:spacing w:before="7" w:line="222" w:lineRule="auto"/>
              <w:jc w:val="center"/>
              <w:rPr>
                <w:rFonts w:hint="eastAsia" w:eastAsia="宋体"/>
                <w:lang w:eastAsia="zh-CN"/>
              </w:rPr>
            </w:pPr>
            <w:r>
              <w:rPr>
                <w:rFonts w:hint="eastAsia"/>
                <w:spacing w:val="-4"/>
                <w:highlight w:val="none"/>
                <w:lang w:eastAsia="zh-CN"/>
              </w:rPr>
              <w:t>中医药管理科</w:t>
            </w:r>
          </w:p>
        </w:tc>
      </w:tr>
    </w:tbl>
    <w:p>
      <w:pPr>
        <w:spacing w:line="124" w:lineRule="exact"/>
        <w:rPr>
          <w:rFonts w:ascii="Arial"/>
          <w:sz w:val="10"/>
        </w:rPr>
      </w:pPr>
    </w:p>
    <w:p>
      <w:pPr>
        <w:spacing w:line="124" w:lineRule="exact"/>
        <w:rPr>
          <w:rFonts w:ascii="Arial" w:hAnsi="Arial" w:eastAsia="Arial" w:cs="Arial"/>
          <w:sz w:val="10"/>
          <w:szCs w:val="10"/>
        </w:rPr>
        <w:sectPr>
          <w:footerReference r:id="rId5" w:type="default"/>
          <w:pgSz w:w="16838" w:h="11905" w:orient="landscape"/>
          <w:pgMar w:top="1015" w:right="556" w:bottom="1157" w:left="556" w:header="0" w:footer="992" w:gutter="0"/>
          <w:pgNumType w:fmt="decimal"/>
          <w:cols w:space="0" w:num="1"/>
          <w:rtlGutter w:val="0"/>
          <w:docGrid w:linePitch="0" w:charSpace="0"/>
        </w:sectPr>
      </w:pPr>
    </w:p>
    <w:tbl>
      <w:tblPr>
        <w:tblStyle w:val="12"/>
        <w:tblpPr w:leftFromText="180" w:rightFromText="180" w:vertAnchor="text" w:horzAnchor="page" w:tblpXSpec="center" w:tblpY="106"/>
        <w:tblOverlap w:val="never"/>
        <w:tblW w:w="14416"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0"/>
        <w:gridCol w:w="732"/>
        <w:gridCol w:w="3366"/>
        <w:gridCol w:w="3443"/>
        <w:gridCol w:w="3347"/>
        <w:gridCol w:w="1130"/>
        <w:gridCol w:w="19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9" w:hRule="atLeast"/>
          <w:jc w:val="center"/>
        </w:trPr>
        <w:tc>
          <w:tcPr>
            <w:tcW w:w="460" w:type="dxa"/>
            <w:vAlign w:val="top"/>
          </w:tcPr>
          <w:p>
            <w:pPr>
              <w:spacing w:before="50" w:line="201" w:lineRule="auto"/>
              <w:ind w:left="117"/>
              <w:rPr>
                <w:rFonts w:ascii="黑体" w:hAnsi="黑体" w:eastAsia="黑体" w:cs="黑体"/>
                <w:sz w:val="24"/>
                <w:szCs w:val="24"/>
              </w:rPr>
            </w:pPr>
            <w:r>
              <w:rPr>
                <w:rFonts w:ascii="黑体" w:hAnsi="黑体" w:eastAsia="黑体" w:cs="黑体"/>
                <w:sz w:val="24"/>
                <w:szCs w:val="24"/>
              </w:rPr>
              <w:t>序</w:t>
            </w:r>
          </w:p>
          <w:p>
            <w:pPr>
              <w:spacing w:line="213" w:lineRule="auto"/>
              <w:ind w:left="121"/>
              <w:rPr>
                <w:rFonts w:ascii="黑体" w:hAnsi="黑体" w:eastAsia="黑体" w:cs="黑体"/>
                <w:sz w:val="24"/>
                <w:szCs w:val="24"/>
              </w:rPr>
            </w:pPr>
            <w:r>
              <w:rPr>
                <w:rFonts w:ascii="黑体" w:hAnsi="黑体" w:eastAsia="黑体" w:cs="黑体"/>
                <w:sz w:val="24"/>
                <w:szCs w:val="24"/>
              </w:rPr>
              <w:t>号</w:t>
            </w:r>
          </w:p>
        </w:tc>
        <w:tc>
          <w:tcPr>
            <w:tcW w:w="732" w:type="dxa"/>
            <w:vAlign w:val="top"/>
          </w:tcPr>
          <w:p>
            <w:pPr>
              <w:spacing w:before="180" w:line="223" w:lineRule="auto"/>
              <w:ind w:left="125"/>
              <w:rPr>
                <w:rFonts w:ascii="黑体" w:hAnsi="黑体" w:eastAsia="黑体" w:cs="黑体"/>
                <w:sz w:val="24"/>
                <w:szCs w:val="24"/>
              </w:rPr>
            </w:pPr>
            <w:r>
              <w:rPr>
                <w:rFonts w:ascii="黑体" w:hAnsi="黑体" w:eastAsia="黑体" w:cs="黑体"/>
                <w:spacing w:val="-2"/>
                <w:sz w:val="24"/>
                <w:szCs w:val="24"/>
              </w:rPr>
              <w:t>措施</w:t>
            </w:r>
          </w:p>
        </w:tc>
        <w:tc>
          <w:tcPr>
            <w:tcW w:w="3366" w:type="dxa"/>
            <w:vAlign w:val="top"/>
          </w:tcPr>
          <w:p>
            <w:pPr>
              <w:spacing w:before="179" w:line="221" w:lineRule="auto"/>
              <w:ind w:left="1206"/>
              <w:rPr>
                <w:rFonts w:ascii="黑体" w:hAnsi="黑体" w:eastAsia="黑体" w:cs="黑体"/>
                <w:sz w:val="24"/>
                <w:szCs w:val="24"/>
              </w:rPr>
            </w:pPr>
            <w:r>
              <w:rPr>
                <w:rFonts w:ascii="黑体" w:hAnsi="黑体" w:eastAsia="黑体" w:cs="黑体"/>
                <w:spacing w:val="-2"/>
                <w:sz w:val="24"/>
                <w:szCs w:val="24"/>
              </w:rPr>
              <w:t>任务目标</w:t>
            </w:r>
          </w:p>
        </w:tc>
        <w:tc>
          <w:tcPr>
            <w:tcW w:w="3443" w:type="dxa"/>
            <w:vAlign w:val="top"/>
          </w:tcPr>
          <w:p>
            <w:pPr>
              <w:spacing w:before="179" w:line="222" w:lineRule="auto"/>
              <w:ind w:left="1248"/>
              <w:rPr>
                <w:rFonts w:ascii="黑体" w:hAnsi="黑体" w:eastAsia="黑体" w:cs="黑体"/>
                <w:sz w:val="24"/>
                <w:szCs w:val="24"/>
              </w:rPr>
            </w:pPr>
            <w:r>
              <w:rPr>
                <w:rFonts w:ascii="黑体" w:hAnsi="黑体" w:eastAsia="黑体" w:cs="黑体"/>
                <w:spacing w:val="-2"/>
                <w:sz w:val="24"/>
                <w:szCs w:val="24"/>
              </w:rPr>
              <w:t>工作内容</w:t>
            </w:r>
          </w:p>
        </w:tc>
        <w:tc>
          <w:tcPr>
            <w:tcW w:w="3347" w:type="dxa"/>
            <w:vAlign w:val="top"/>
          </w:tcPr>
          <w:p>
            <w:pPr>
              <w:spacing w:before="179" w:line="222" w:lineRule="auto"/>
              <w:ind w:left="1199"/>
              <w:rPr>
                <w:rFonts w:ascii="黑体" w:hAnsi="黑体" w:eastAsia="黑体" w:cs="黑体"/>
                <w:sz w:val="24"/>
                <w:szCs w:val="24"/>
              </w:rPr>
            </w:pPr>
            <w:r>
              <w:rPr>
                <w:rFonts w:ascii="黑体" w:hAnsi="黑体" w:eastAsia="黑体" w:cs="黑体"/>
                <w:spacing w:val="-2"/>
                <w:sz w:val="24"/>
                <w:szCs w:val="24"/>
              </w:rPr>
              <w:t>评价标准</w:t>
            </w:r>
          </w:p>
        </w:tc>
        <w:tc>
          <w:tcPr>
            <w:tcW w:w="1130" w:type="dxa"/>
            <w:vAlign w:val="top"/>
          </w:tcPr>
          <w:p>
            <w:pPr>
              <w:spacing w:before="50" w:line="201" w:lineRule="auto"/>
              <w:ind w:left="332"/>
              <w:rPr>
                <w:rFonts w:ascii="黑体" w:hAnsi="黑体" w:eastAsia="黑体" w:cs="黑体"/>
                <w:sz w:val="24"/>
                <w:szCs w:val="24"/>
              </w:rPr>
            </w:pPr>
            <w:r>
              <w:rPr>
                <w:rFonts w:ascii="黑体" w:hAnsi="黑体" w:eastAsia="黑体" w:cs="黑体"/>
                <w:spacing w:val="-3"/>
                <w:sz w:val="24"/>
                <w:szCs w:val="24"/>
              </w:rPr>
              <w:t>完成</w:t>
            </w:r>
          </w:p>
          <w:p>
            <w:pPr>
              <w:spacing w:line="213" w:lineRule="auto"/>
              <w:ind w:left="340"/>
              <w:rPr>
                <w:rFonts w:ascii="黑体" w:hAnsi="黑体" w:eastAsia="黑体" w:cs="黑体"/>
                <w:sz w:val="24"/>
                <w:szCs w:val="24"/>
              </w:rPr>
            </w:pPr>
            <w:r>
              <w:rPr>
                <w:rFonts w:ascii="黑体" w:hAnsi="黑体" w:eastAsia="黑体" w:cs="黑体"/>
                <w:spacing w:val="-5"/>
                <w:sz w:val="24"/>
                <w:szCs w:val="24"/>
              </w:rPr>
              <w:t>时限</w:t>
            </w:r>
          </w:p>
        </w:tc>
        <w:tc>
          <w:tcPr>
            <w:tcW w:w="1938" w:type="dxa"/>
            <w:vAlign w:val="top"/>
          </w:tcPr>
          <w:p>
            <w:pPr>
              <w:spacing w:before="50" w:line="207" w:lineRule="auto"/>
              <w:ind w:left="497" w:right="248" w:hanging="242"/>
              <w:rPr>
                <w:rFonts w:ascii="黑体" w:hAnsi="黑体" w:eastAsia="黑体" w:cs="黑体"/>
                <w:sz w:val="24"/>
                <w:szCs w:val="24"/>
              </w:rPr>
            </w:pPr>
            <w:r>
              <w:rPr>
                <w:rFonts w:hint="eastAsia" w:ascii="黑体" w:hAnsi="黑体" w:eastAsia="黑体" w:cs="黑体"/>
                <w:spacing w:val="-2"/>
                <w:sz w:val="24"/>
                <w:szCs w:val="24"/>
                <w:lang w:val="en-US" w:eastAsia="zh-CN"/>
              </w:rPr>
              <w:t>市</w:t>
            </w:r>
            <w:r>
              <w:rPr>
                <w:rFonts w:ascii="黑体" w:hAnsi="黑体" w:eastAsia="黑体" w:cs="黑体"/>
                <w:spacing w:val="-2"/>
                <w:sz w:val="24"/>
                <w:szCs w:val="24"/>
              </w:rPr>
              <w:t>卫生健康委</w:t>
            </w:r>
            <w:r>
              <w:rPr>
                <w:rFonts w:ascii="黑体" w:hAnsi="黑体" w:eastAsia="黑体" w:cs="黑体"/>
                <w:spacing w:val="-3"/>
                <w:sz w:val="24"/>
                <w:szCs w:val="24"/>
              </w:rPr>
              <w:t>责任</w:t>
            </w:r>
            <w:r>
              <w:rPr>
                <w:rFonts w:hint="eastAsia" w:ascii="黑体" w:hAnsi="黑体" w:eastAsia="黑体" w:cs="黑体"/>
                <w:spacing w:val="-3"/>
                <w:sz w:val="24"/>
                <w:szCs w:val="24"/>
                <w:lang w:val="en-US" w:eastAsia="zh-CN"/>
              </w:rPr>
              <w:t>科室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62" w:hRule="atLeast"/>
          <w:jc w:val="center"/>
        </w:trPr>
        <w:tc>
          <w:tcPr>
            <w:tcW w:w="460"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14"/>
              <w:spacing w:before="69" w:line="242" w:lineRule="auto"/>
              <w:ind w:left="182"/>
            </w:pPr>
            <w:r>
              <w:rPr>
                <w:rFonts w:ascii="Times New Roman" w:hAnsi="Times New Roman"/>
              </w:rPr>
              <w:t>6</w:t>
            </w:r>
          </w:p>
        </w:tc>
        <w:tc>
          <w:tcPr>
            <w:tcW w:w="732" w:type="dxa"/>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pStyle w:val="14"/>
              <w:spacing w:before="68" w:line="224" w:lineRule="auto"/>
              <w:ind w:left="157"/>
            </w:pPr>
            <w:r>
              <w:rPr>
                <w:spacing w:val="-2"/>
              </w:rPr>
              <w:t>加强</w:t>
            </w:r>
          </w:p>
          <w:p>
            <w:pPr>
              <w:pStyle w:val="14"/>
              <w:spacing w:before="6" w:line="222" w:lineRule="auto"/>
              <w:ind w:left="167"/>
            </w:pPr>
            <w:r>
              <w:rPr>
                <w:spacing w:val="-4"/>
              </w:rPr>
              <w:t>医疗</w:t>
            </w:r>
          </w:p>
          <w:p>
            <w:pPr>
              <w:pStyle w:val="14"/>
              <w:spacing w:before="6" w:line="221" w:lineRule="auto"/>
              <w:ind w:left="158"/>
            </w:pPr>
            <w:r>
              <w:rPr>
                <w:spacing w:val="-2"/>
              </w:rPr>
              <w:t>技术</w:t>
            </w:r>
          </w:p>
          <w:p>
            <w:pPr>
              <w:pStyle w:val="14"/>
              <w:spacing w:before="7" w:line="221" w:lineRule="auto"/>
              <w:ind w:left="169"/>
            </w:pPr>
            <w:r>
              <w:rPr>
                <w:spacing w:val="-5"/>
              </w:rPr>
              <w:t>临床</w:t>
            </w:r>
          </w:p>
          <w:p>
            <w:pPr>
              <w:pStyle w:val="14"/>
              <w:spacing w:before="10" w:line="223" w:lineRule="auto"/>
              <w:ind w:left="157"/>
            </w:pPr>
            <w:r>
              <w:rPr>
                <w:spacing w:val="-2"/>
              </w:rPr>
              <w:t>应用</w:t>
            </w:r>
          </w:p>
          <w:p>
            <w:pPr>
              <w:pStyle w:val="14"/>
              <w:spacing w:before="6" w:line="221" w:lineRule="auto"/>
              <w:ind w:left="161"/>
            </w:pPr>
            <w:r>
              <w:rPr>
                <w:spacing w:val="-3"/>
              </w:rPr>
              <w:t>管理</w:t>
            </w:r>
          </w:p>
        </w:tc>
        <w:tc>
          <w:tcPr>
            <w:tcW w:w="3366"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14"/>
              <w:spacing w:before="69" w:line="219" w:lineRule="auto"/>
              <w:ind w:left="111"/>
            </w:pPr>
            <w:r>
              <w:rPr>
                <w:spacing w:val="-2"/>
              </w:rPr>
              <w:t>①医疗技术临床应用更加规范。</w:t>
            </w:r>
          </w:p>
          <w:p>
            <w:pPr>
              <w:pStyle w:val="14"/>
              <w:spacing w:before="10" w:line="230" w:lineRule="auto"/>
              <w:ind w:left="129" w:hanging="19"/>
            </w:pPr>
            <w:r>
              <w:rPr>
                <w:spacing w:val="6"/>
              </w:rPr>
              <w:t>②无违法违规开展“禁止类技术”</w:t>
            </w:r>
            <w:r>
              <w:rPr>
                <w:spacing w:val="-6"/>
              </w:rPr>
              <w:t>的情况。</w:t>
            </w:r>
          </w:p>
        </w:tc>
        <w:tc>
          <w:tcPr>
            <w:tcW w:w="3443" w:type="dxa"/>
            <w:vAlign w:val="top"/>
          </w:tcPr>
          <w:p>
            <w:pPr>
              <w:pStyle w:val="14"/>
              <w:spacing w:before="275" w:line="219" w:lineRule="auto"/>
              <w:ind w:left="112"/>
            </w:pPr>
            <w:r>
              <w:rPr>
                <w:spacing w:val="-1"/>
              </w:rPr>
              <w:t>①</w:t>
            </w:r>
            <w:r>
              <w:rPr>
                <w:rFonts w:hint="eastAsia"/>
                <w:spacing w:val="-1"/>
                <w:lang w:val="en-US" w:eastAsia="zh-CN"/>
              </w:rPr>
              <w:t>各区县卫生健康局</w:t>
            </w:r>
            <w:r>
              <w:rPr>
                <w:spacing w:val="-1"/>
              </w:rPr>
              <w:t>要强化</w:t>
            </w:r>
            <w:r>
              <w:rPr>
                <w:spacing w:val="-8"/>
              </w:rPr>
              <w:t>“禁止类技术”的监督，加强对“限</w:t>
            </w:r>
            <w:r>
              <w:rPr>
                <w:spacing w:val="-1"/>
              </w:rPr>
              <w:t>制类技术”及开展条件要求较高的</w:t>
            </w:r>
            <w:r>
              <w:rPr>
                <w:spacing w:val="-3"/>
              </w:rPr>
              <w:t>技术的监测与评估。</w:t>
            </w:r>
          </w:p>
          <w:p>
            <w:pPr>
              <w:pStyle w:val="14"/>
              <w:spacing w:before="1" w:line="228" w:lineRule="auto"/>
              <w:ind w:left="113" w:right="179" w:hanging="2"/>
            </w:pPr>
            <w:r>
              <w:rPr>
                <w:spacing w:val="-1"/>
              </w:rPr>
              <w:t>②医疗机构要建立本机构医疗技术临床应用管理制度，做好新技术的论证，对已经临床应用的技术定期</w:t>
            </w:r>
            <w:r>
              <w:rPr>
                <w:spacing w:val="-5"/>
              </w:rPr>
              <w:t>开展评估。</w:t>
            </w:r>
          </w:p>
          <w:p>
            <w:pPr>
              <w:pStyle w:val="14"/>
              <w:spacing w:line="230" w:lineRule="auto"/>
              <w:ind w:left="116" w:right="179" w:hanging="5"/>
            </w:pPr>
            <w:r>
              <w:rPr>
                <w:spacing w:val="-1"/>
              </w:rPr>
              <w:t>③医疗机构对在本机构应用过程中不适宜的技术要进行论证，并停止</w:t>
            </w:r>
            <w:r>
              <w:rPr>
                <w:spacing w:val="-5"/>
              </w:rPr>
              <w:t>临床应用。</w:t>
            </w:r>
          </w:p>
        </w:tc>
        <w:tc>
          <w:tcPr>
            <w:tcW w:w="3347" w:type="dxa"/>
            <w:vAlign w:val="top"/>
          </w:tcPr>
          <w:p>
            <w:pPr>
              <w:spacing w:line="297" w:lineRule="auto"/>
              <w:rPr>
                <w:rFonts w:ascii="Arial"/>
                <w:sz w:val="21"/>
              </w:rPr>
            </w:pPr>
          </w:p>
          <w:p>
            <w:pPr>
              <w:spacing w:line="298" w:lineRule="auto"/>
              <w:rPr>
                <w:rFonts w:ascii="Arial"/>
                <w:sz w:val="21"/>
              </w:rPr>
            </w:pPr>
          </w:p>
          <w:p>
            <w:pPr>
              <w:pStyle w:val="14"/>
              <w:spacing w:before="69" w:line="228" w:lineRule="auto"/>
              <w:ind w:left="114" w:right="101" w:hanging="1"/>
            </w:pPr>
            <w:r>
              <w:rPr>
                <w:spacing w:val="-2"/>
              </w:rPr>
              <w:t>①</w:t>
            </w:r>
            <w:r>
              <w:rPr>
                <w:rFonts w:hint="eastAsia"/>
                <w:spacing w:val="-2"/>
                <w:lang w:val="en-US" w:eastAsia="zh-CN"/>
              </w:rPr>
              <w:t>市、区县卫生行政部门</w:t>
            </w:r>
            <w:r>
              <w:rPr>
                <w:spacing w:val="-2"/>
              </w:rPr>
              <w:t>强化“禁止类技术”的监督，加强对限制类技术临床应用管理，对医疗机构临床应用情况进行日常监测及评估。</w:t>
            </w:r>
          </w:p>
          <w:p>
            <w:pPr>
              <w:pStyle w:val="14"/>
              <w:spacing w:line="230" w:lineRule="auto"/>
              <w:ind w:left="115" w:right="101" w:hanging="3"/>
            </w:pPr>
            <w:r>
              <w:rPr>
                <w:spacing w:val="-2"/>
              </w:rPr>
              <w:t>②医疗机构建立医疗技术临床应用管理制度，加强医疗技术临床应用管理。</w:t>
            </w:r>
          </w:p>
        </w:tc>
        <w:tc>
          <w:tcPr>
            <w:tcW w:w="1130" w:type="dxa"/>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14"/>
              <w:spacing w:before="68" w:line="221" w:lineRule="auto"/>
              <w:ind w:left="232"/>
            </w:pPr>
            <w:r>
              <w:rPr>
                <w:rFonts w:ascii="Times New Roman" w:hAnsi="Times New Roman"/>
                <w:spacing w:val="-2"/>
              </w:rPr>
              <w:t>2025</w:t>
            </w:r>
            <w:r>
              <w:rPr>
                <w:spacing w:val="-2"/>
              </w:rPr>
              <w:t>年</w:t>
            </w:r>
          </w:p>
        </w:tc>
        <w:tc>
          <w:tcPr>
            <w:tcW w:w="1938"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14"/>
              <w:spacing w:before="68" w:line="223" w:lineRule="auto"/>
              <w:jc w:val="center"/>
              <w:rPr>
                <w:rFonts w:hint="eastAsia" w:eastAsia="宋体"/>
                <w:lang w:eastAsia="zh-CN"/>
              </w:rPr>
            </w:pPr>
            <w:r>
              <w:rPr>
                <w:rFonts w:hint="eastAsia"/>
                <w:spacing w:val="-4"/>
                <w:lang w:eastAsia="zh-CN"/>
              </w:rPr>
              <w:t>医政科</w:t>
            </w:r>
          </w:p>
          <w:p>
            <w:pPr>
              <w:pStyle w:val="14"/>
              <w:spacing w:before="6" w:line="221" w:lineRule="auto"/>
              <w:jc w:val="center"/>
            </w:pPr>
            <w:r>
              <w:rPr>
                <w:rFonts w:hint="eastAsia"/>
                <w:spacing w:val="-1"/>
                <w:lang w:val="en-US" w:eastAsia="zh-CN"/>
              </w:rPr>
              <w:t>卫生应急科</w:t>
            </w:r>
            <w:r>
              <w:rPr>
                <w:rFonts w:hint="eastAsia"/>
                <w:spacing w:val="-1"/>
                <w:lang w:eastAsia="zh-CN"/>
              </w:rPr>
              <w:br w:type="textWrapping"/>
            </w:r>
            <w:r>
              <w:rPr>
                <w:rFonts w:hint="eastAsia"/>
                <w:spacing w:val="-1"/>
                <w:lang w:eastAsia="zh-CN"/>
              </w:rPr>
              <w:t>基层卫生健康科</w:t>
            </w:r>
          </w:p>
          <w:p>
            <w:pPr>
              <w:pStyle w:val="14"/>
              <w:spacing w:before="7" w:line="222" w:lineRule="auto"/>
              <w:jc w:val="center"/>
              <w:rPr>
                <w:rFonts w:hint="eastAsia" w:eastAsia="宋体"/>
                <w:lang w:eastAsia="zh-CN"/>
              </w:rPr>
            </w:pPr>
            <w:r>
              <w:rPr>
                <w:rFonts w:hint="eastAsia"/>
                <w:spacing w:val="-4"/>
                <w:highlight w:val="none"/>
                <w:lang w:val="en-US" w:eastAsia="zh-CN"/>
              </w:rPr>
              <w:t>综合监督与法规科</w:t>
            </w:r>
            <w:r>
              <w:rPr>
                <w:rFonts w:hint="eastAsia"/>
                <w:spacing w:val="-4"/>
                <w:highlight w:val="none"/>
                <w:lang w:eastAsia="zh-CN"/>
              </w:rPr>
              <w:br w:type="textWrapping"/>
            </w:r>
            <w:r>
              <w:rPr>
                <w:rFonts w:hint="eastAsia"/>
                <w:spacing w:val="-4"/>
                <w:highlight w:val="none"/>
                <w:lang w:eastAsia="zh-CN"/>
              </w:rPr>
              <w:t>中医药管理科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06" w:hRule="atLeast"/>
          <w:jc w:val="center"/>
        </w:trPr>
        <w:tc>
          <w:tcPr>
            <w:tcW w:w="460" w:type="dxa"/>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14"/>
              <w:spacing w:before="69" w:line="242" w:lineRule="auto"/>
              <w:ind w:left="185"/>
            </w:pPr>
            <w:r>
              <w:rPr>
                <w:rFonts w:ascii="Times New Roman" w:hAnsi="Times New Roman"/>
              </w:rPr>
              <w:t>7</w:t>
            </w:r>
          </w:p>
        </w:tc>
        <w:tc>
          <w:tcPr>
            <w:tcW w:w="732"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14"/>
              <w:spacing w:before="69" w:line="224" w:lineRule="auto"/>
              <w:ind w:left="157"/>
            </w:pPr>
            <w:r>
              <w:rPr>
                <w:spacing w:val="-2"/>
              </w:rPr>
              <w:t>加强</w:t>
            </w:r>
          </w:p>
          <w:p>
            <w:pPr>
              <w:pStyle w:val="14"/>
              <w:spacing w:before="4" w:line="222" w:lineRule="auto"/>
              <w:ind w:left="176"/>
            </w:pPr>
            <w:r>
              <w:rPr>
                <w:spacing w:val="-7"/>
              </w:rPr>
              <w:t>围手</w:t>
            </w:r>
          </w:p>
          <w:p>
            <w:pPr>
              <w:pStyle w:val="14"/>
              <w:spacing w:before="9" w:line="221" w:lineRule="auto"/>
              <w:ind w:left="159"/>
            </w:pPr>
            <w:r>
              <w:rPr>
                <w:spacing w:val="-2"/>
              </w:rPr>
              <w:t>术期</w:t>
            </w:r>
          </w:p>
          <w:p>
            <w:pPr>
              <w:pStyle w:val="14"/>
              <w:spacing w:before="7" w:line="221" w:lineRule="auto"/>
              <w:ind w:left="161"/>
            </w:pPr>
            <w:r>
              <w:rPr>
                <w:spacing w:val="-3"/>
              </w:rPr>
              <w:t>管理</w:t>
            </w:r>
          </w:p>
        </w:tc>
        <w:tc>
          <w:tcPr>
            <w:tcW w:w="3366" w:type="dxa"/>
            <w:vAlign w:val="top"/>
          </w:tcPr>
          <w:p>
            <w:pPr>
              <w:spacing w:line="445" w:lineRule="auto"/>
              <w:rPr>
                <w:rFonts w:ascii="Arial"/>
                <w:sz w:val="21"/>
              </w:rPr>
            </w:pPr>
          </w:p>
          <w:p>
            <w:pPr>
              <w:pStyle w:val="14"/>
              <w:spacing w:before="68" w:line="229" w:lineRule="auto"/>
              <w:ind w:left="111" w:right="103"/>
            </w:pPr>
            <w:r>
              <w:rPr>
                <w:spacing w:val="-1"/>
              </w:rPr>
              <w:t>①各医疗机构基本形成科学规范、责权清晰、运行顺畅的手术质量安全管理机制。</w:t>
            </w:r>
          </w:p>
          <w:p>
            <w:pPr>
              <w:pStyle w:val="14"/>
              <w:spacing w:before="7" w:line="228" w:lineRule="auto"/>
              <w:ind w:left="113" w:right="103" w:hanging="3"/>
            </w:pPr>
            <w:r>
              <w:rPr>
                <w:spacing w:val="-1"/>
              </w:rPr>
              <w:t>②住院患者围手术期死亡、手术并发症、麻醉并发症等负性事件发生</w:t>
            </w:r>
            <w:r>
              <w:rPr>
                <w:spacing w:val="-8"/>
              </w:rPr>
              <w:t>率较</w:t>
            </w:r>
            <w:r>
              <w:rPr>
                <w:rFonts w:ascii="Times New Roman" w:hAnsi="Times New Roman"/>
                <w:spacing w:val="-8"/>
              </w:rPr>
              <w:t>2024</w:t>
            </w:r>
            <w:r>
              <w:rPr>
                <w:spacing w:val="-8"/>
              </w:rPr>
              <w:t>年下降，非计划重返手术</w:t>
            </w:r>
            <w:r>
              <w:rPr>
                <w:spacing w:val="-2"/>
              </w:rPr>
              <w:t>室再手术率不高于</w:t>
            </w:r>
            <w:r>
              <w:rPr>
                <w:rFonts w:ascii="Times New Roman" w:hAnsi="Times New Roman"/>
                <w:spacing w:val="-2"/>
              </w:rPr>
              <w:t>1</w:t>
            </w:r>
            <w:r>
              <w:rPr>
                <w:spacing w:val="-2"/>
              </w:rPr>
              <w:t>.</w:t>
            </w:r>
            <w:r>
              <w:rPr>
                <w:rFonts w:ascii="Times New Roman" w:hAnsi="Times New Roman"/>
                <w:spacing w:val="-2"/>
              </w:rPr>
              <w:t>8</w:t>
            </w:r>
            <w:r>
              <w:rPr>
                <w:spacing w:val="-2"/>
              </w:rPr>
              <w:t>‰，住院患</w:t>
            </w:r>
            <w:r>
              <w:rPr>
                <w:spacing w:val="-1"/>
              </w:rPr>
              <w:t>者手术后获得性指标发生率不高于</w:t>
            </w:r>
            <w:r>
              <w:rPr>
                <w:rFonts w:ascii="Times New Roman" w:hAnsi="Times New Roman"/>
                <w:spacing w:val="-1"/>
              </w:rPr>
              <w:t>7</w:t>
            </w:r>
            <w:r>
              <w:rPr>
                <w:spacing w:val="-1"/>
              </w:rPr>
              <w:t>.</w:t>
            </w:r>
            <w:r>
              <w:rPr>
                <w:rFonts w:ascii="Times New Roman" w:hAnsi="Times New Roman"/>
                <w:spacing w:val="-1"/>
              </w:rPr>
              <w:t>5</w:t>
            </w:r>
            <w:r>
              <w:rPr>
                <w:spacing w:val="-1"/>
              </w:rPr>
              <w:t>‰，手术麻醉期间低体温发生率、Ⅰ类切口手术抗菌药物预防使</w:t>
            </w:r>
            <w:r>
              <w:rPr>
                <w:spacing w:val="-8"/>
              </w:rPr>
              <w:t>用率较</w:t>
            </w:r>
            <w:r>
              <w:rPr>
                <w:rFonts w:ascii="Times New Roman" w:hAnsi="Times New Roman"/>
                <w:spacing w:val="-8"/>
              </w:rPr>
              <w:t>2024</w:t>
            </w:r>
            <w:r>
              <w:rPr>
                <w:spacing w:val="-8"/>
              </w:rPr>
              <w:t>年下降，四级手术术前</w:t>
            </w:r>
            <w:r>
              <w:rPr>
                <w:spacing w:val="-2"/>
              </w:rPr>
              <w:t>多学科讨论制度得到全面落实。</w:t>
            </w:r>
          </w:p>
        </w:tc>
        <w:tc>
          <w:tcPr>
            <w:tcW w:w="3443" w:type="dxa"/>
            <w:vAlign w:val="top"/>
          </w:tcPr>
          <w:p>
            <w:pPr>
              <w:spacing w:line="277" w:lineRule="auto"/>
              <w:jc w:val="both"/>
              <w:rPr>
                <w:rFonts w:ascii="Arial"/>
                <w:sz w:val="21"/>
              </w:rPr>
            </w:pPr>
          </w:p>
          <w:p>
            <w:pPr>
              <w:spacing w:line="277" w:lineRule="auto"/>
              <w:jc w:val="both"/>
              <w:rPr>
                <w:rFonts w:ascii="Arial"/>
                <w:sz w:val="21"/>
              </w:rPr>
            </w:pPr>
          </w:p>
          <w:p>
            <w:pPr>
              <w:spacing w:line="278" w:lineRule="auto"/>
              <w:jc w:val="both"/>
              <w:rPr>
                <w:rFonts w:ascii="Arial"/>
                <w:sz w:val="21"/>
              </w:rPr>
            </w:pPr>
          </w:p>
          <w:p>
            <w:pPr>
              <w:pStyle w:val="14"/>
              <w:spacing w:before="69" w:line="229" w:lineRule="auto"/>
              <w:ind w:left="113" w:right="179" w:hanging="1"/>
              <w:jc w:val="both"/>
            </w:pPr>
            <w:r>
              <w:rPr>
                <w:spacing w:val="-1"/>
              </w:rPr>
              <w:t>①</w:t>
            </w:r>
            <w:r>
              <w:rPr>
                <w:rFonts w:hint="eastAsia"/>
                <w:spacing w:val="-2"/>
                <w:lang w:eastAsia="zh-CN"/>
              </w:rPr>
              <w:t>各区县卫生健康局</w:t>
            </w:r>
            <w:r>
              <w:rPr>
                <w:spacing w:val="-1"/>
              </w:rPr>
              <w:t>要加强对严重手术质量安全事件的全面分析，指导医疗机构建立闭环管理机</w:t>
            </w:r>
            <w:r>
              <w:rPr>
                <w:spacing w:val="-10"/>
              </w:rPr>
              <w:t>制。</w:t>
            </w:r>
          </w:p>
          <w:p>
            <w:pPr>
              <w:pStyle w:val="14"/>
              <w:spacing w:before="1" w:line="228" w:lineRule="auto"/>
              <w:ind w:left="114" w:right="179" w:hanging="3"/>
              <w:jc w:val="both"/>
            </w:pPr>
            <w:r>
              <w:rPr>
                <w:spacing w:val="-1"/>
              </w:rPr>
              <w:t>②医疗机构以循证依据为基础，完善手术质量安全管理体系，精准落实手术质量安全管理要求。</w:t>
            </w:r>
          </w:p>
          <w:p>
            <w:pPr>
              <w:pStyle w:val="14"/>
              <w:spacing w:before="1" w:line="229" w:lineRule="auto"/>
              <w:ind w:left="114" w:right="179" w:hanging="3"/>
              <w:jc w:val="both"/>
            </w:pPr>
            <w:r>
              <w:rPr>
                <w:spacing w:val="-1"/>
              </w:rPr>
              <w:t>③临床科室要做好术前、术中、术</w:t>
            </w:r>
            <w:r>
              <w:rPr>
                <w:spacing w:val="-2"/>
              </w:rPr>
              <w:t>后全流程、全要素患者管理。</w:t>
            </w:r>
          </w:p>
        </w:tc>
        <w:tc>
          <w:tcPr>
            <w:tcW w:w="3347" w:type="dxa"/>
            <w:vAlign w:val="top"/>
          </w:tcPr>
          <w:p>
            <w:pPr>
              <w:spacing w:line="244" w:lineRule="auto"/>
              <w:jc w:val="both"/>
              <w:rPr>
                <w:rFonts w:ascii="Arial"/>
                <w:sz w:val="21"/>
              </w:rPr>
            </w:pPr>
          </w:p>
          <w:p>
            <w:pPr>
              <w:spacing w:line="244" w:lineRule="auto"/>
              <w:jc w:val="both"/>
              <w:rPr>
                <w:rFonts w:ascii="Arial"/>
                <w:sz w:val="21"/>
              </w:rPr>
            </w:pPr>
          </w:p>
          <w:p>
            <w:pPr>
              <w:spacing w:line="244" w:lineRule="auto"/>
              <w:jc w:val="both"/>
              <w:rPr>
                <w:rFonts w:ascii="Arial"/>
                <w:sz w:val="21"/>
              </w:rPr>
            </w:pPr>
          </w:p>
          <w:p>
            <w:pPr>
              <w:spacing w:line="244" w:lineRule="auto"/>
              <w:jc w:val="both"/>
              <w:rPr>
                <w:rFonts w:ascii="Arial"/>
                <w:sz w:val="21"/>
              </w:rPr>
            </w:pPr>
          </w:p>
          <w:p>
            <w:pPr>
              <w:spacing w:line="244" w:lineRule="auto"/>
              <w:jc w:val="both"/>
              <w:rPr>
                <w:rFonts w:ascii="Arial"/>
                <w:sz w:val="21"/>
              </w:rPr>
            </w:pPr>
          </w:p>
          <w:p>
            <w:pPr>
              <w:pStyle w:val="14"/>
              <w:keepNext w:val="0"/>
              <w:keepLines w:val="0"/>
              <w:pageBreakBefore w:val="0"/>
              <w:widowControl w:val="0"/>
              <w:kinsoku/>
              <w:wordWrap/>
              <w:overflowPunct w:val="0"/>
              <w:topLinePunct w:val="0"/>
              <w:autoSpaceDE/>
              <w:autoSpaceDN/>
              <w:bidi w:val="0"/>
              <w:adjustRightInd w:val="0"/>
              <w:snapToGrid w:val="0"/>
              <w:spacing w:before="68" w:line="228" w:lineRule="auto"/>
              <w:ind w:left="113" w:right="102"/>
              <w:jc w:val="both"/>
              <w:textAlignment w:val="baseline"/>
            </w:pPr>
            <w:r>
              <w:rPr>
                <w:spacing w:val="-2"/>
              </w:rPr>
              <w:t>①</w:t>
            </w:r>
            <w:r>
              <w:rPr>
                <w:rFonts w:hint="eastAsia"/>
                <w:spacing w:val="-2"/>
                <w:lang w:val="en-US" w:eastAsia="zh-CN"/>
              </w:rPr>
              <w:t>市、区县卫生行政部门按照分级负责原则，</w:t>
            </w:r>
            <w:r>
              <w:rPr>
                <w:spacing w:val="-2"/>
              </w:rPr>
              <w:t>对辖区内严重手术质量安全事件进行全面</w:t>
            </w:r>
            <w:r>
              <w:rPr>
                <w:rFonts w:hint="eastAsia"/>
                <w:spacing w:val="-2"/>
                <w:lang w:val="en-US" w:eastAsia="zh-CN"/>
              </w:rPr>
              <w:t>分</w:t>
            </w:r>
            <w:r>
              <w:rPr>
                <w:spacing w:val="-2"/>
              </w:rPr>
              <w:t>析，指导医疗机构加强闭环管理。</w:t>
            </w:r>
          </w:p>
          <w:p>
            <w:pPr>
              <w:pStyle w:val="14"/>
              <w:keepNext w:val="0"/>
              <w:keepLines w:val="0"/>
              <w:pageBreakBefore w:val="0"/>
              <w:widowControl w:val="0"/>
              <w:kinsoku/>
              <w:wordWrap/>
              <w:overflowPunct w:val="0"/>
              <w:topLinePunct w:val="0"/>
              <w:autoSpaceDE/>
              <w:autoSpaceDN/>
              <w:bidi w:val="0"/>
              <w:adjustRightInd w:val="0"/>
              <w:snapToGrid w:val="0"/>
              <w:spacing w:line="228" w:lineRule="auto"/>
              <w:ind w:left="116" w:right="102" w:hanging="4"/>
              <w:jc w:val="both"/>
              <w:textAlignment w:val="baseline"/>
            </w:pPr>
            <w:r>
              <w:rPr>
                <w:spacing w:val="-2"/>
              </w:rPr>
              <w:t>②医疗机构完善手术质量安全管理体系，加强术前、术中、术后</w:t>
            </w:r>
            <w:r>
              <w:rPr>
                <w:rFonts w:hint="eastAsia"/>
                <w:spacing w:val="-2"/>
                <w:lang w:val="en-US" w:eastAsia="zh-CN"/>
              </w:rPr>
              <w:t>管</w:t>
            </w:r>
            <w:r>
              <w:rPr>
                <w:spacing w:val="-1"/>
              </w:rPr>
              <w:t>理，相关指标呈向好趋势。</w:t>
            </w:r>
          </w:p>
        </w:tc>
        <w:tc>
          <w:tcPr>
            <w:tcW w:w="1130" w:type="dxa"/>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14"/>
              <w:spacing w:before="68" w:line="221" w:lineRule="auto"/>
              <w:ind w:left="127"/>
            </w:pPr>
            <w:r>
              <w:rPr>
                <w:rFonts w:ascii="Times New Roman" w:hAnsi="Times New Roman"/>
                <w:spacing w:val="-2"/>
              </w:rPr>
              <w:t>2025</w:t>
            </w:r>
            <w:r>
              <w:rPr>
                <w:spacing w:val="-2"/>
              </w:rPr>
              <w:t>年底</w:t>
            </w:r>
          </w:p>
        </w:tc>
        <w:tc>
          <w:tcPr>
            <w:tcW w:w="1938"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14"/>
              <w:spacing w:before="68" w:line="223" w:lineRule="auto"/>
              <w:jc w:val="center"/>
              <w:rPr>
                <w:rFonts w:hint="eastAsia" w:eastAsia="宋体"/>
                <w:lang w:eastAsia="zh-CN"/>
              </w:rPr>
            </w:pPr>
            <w:r>
              <w:rPr>
                <w:rFonts w:hint="eastAsia"/>
                <w:spacing w:val="-4"/>
                <w:lang w:eastAsia="zh-CN"/>
              </w:rPr>
              <w:t>医政科</w:t>
            </w:r>
          </w:p>
          <w:p>
            <w:pPr>
              <w:pStyle w:val="14"/>
              <w:spacing w:before="6" w:line="221" w:lineRule="auto"/>
              <w:jc w:val="center"/>
              <w:rPr>
                <w:rFonts w:hint="eastAsia" w:eastAsia="宋体"/>
                <w:lang w:eastAsia="zh-CN"/>
              </w:rPr>
            </w:pPr>
            <w:r>
              <w:rPr>
                <w:rFonts w:hint="eastAsia"/>
                <w:spacing w:val="-1"/>
                <w:lang w:val="en-US" w:eastAsia="zh-CN"/>
              </w:rPr>
              <w:t>卫生应急科</w:t>
            </w:r>
            <w:r>
              <w:rPr>
                <w:rFonts w:hint="eastAsia"/>
                <w:spacing w:val="-1"/>
                <w:lang w:eastAsia="zh-CN"/>
              </w:rPr>
              <w:br w:type="textWrapping"/>
            </w:r>
            <w:r>
              <w:rPr>
                <w:rFonts w:hint="eastAsia"/>
                <w:spacing w:val="-1"/>
                <w:lang w:eastAsia="zh-CN"/>
              </w:rPr>
              <w:t>基层卫生健康科</w:t>
            </w:r>
          </w:p>
          <w:p>
            <w:pPr>
              <w:pStyle w:val="14"/>
              <w:spacing w:before="7" w:line="222" w:lineRule="auto"/>
              <w:jc w:val="center"/>
              <w:rPr>
                <w:rFonts w:hint="eastAsia" w:eastAsia="宋体"/>
                <w:lang w:eastAsia="zh-CN"/>
              </w:rPr>
            </w:pPr>
            <w:r>
              <w:rPr>
                <w:rFonts w:hint="eastAsia"/>
                <w:spacing w:val="-4"/>
                <w:highlight w:val="none"/>
                <w:lang w:eastAsia="zh-CN"/>
              </w:rPr>
              <w:t>中医药管理科</w:t>
            </w:r>
          </w:p>
        </w:tc>
      </w:tr>
    </w:tbl>
    <w:p>
      <w:pPr>
        <w:spacing w:line="120" w:lineRule="exact"/>
      </w:pPr>
    </w:p>
    <w:p>
      <w:pPr>
        <w:rPr>
          <w:rFonts w:ascii="Arial"/>
          <w:sz w:val="21"/>
        </w:rPr>
      </w:pPr>
    </w:p>
    <w:p>
      <w:pPr>
        <w:rPr>
          <w:rFonts w:ascii="Arial" w:hAnsi="Arial" w:eastAsia="Arial" w:cs="Arial"/>
          <w:sz w:val="21"/>
          <w:szCs w:val="21"/>
        </w:rPr>
        <w:sectPr>
          <w:footerReference r:id="rId6" w:type="default"/>
          <w:pgSz w:w="16838" w:h="11905" w:orient="landscape"/>
          <w:pgMar w:top="1015" w:right="556" w:bottom="1157" w:left="556" w:header="0" w:footer="992" w:gutter="0"/>
          <w:pgNumType w:fmt="decimal"/>
          <w:cols w:space="0" w:num="1"/>
          <w:rtlGutter w:val="0"/>
          <w:docGrid w:linePitch="0" w:charSpace="0"/>
        </w:sectPr>
      </w:pPr>
    </w:p>
    <w:p>
      <w:pPr>
        <w:spacing w:line="120" w:lineRule="exact"/>
      </w:pPr>
    </w:p>
    <w:tbl>
      <w:tblPr>
        <w:tblStyle w:val="12"/>
        <w:tblW w:w="14416"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0"/>
        <w:gridCol w:w="732"/>
        <w:gridCol w:w="3366"/>
        <w:gridCol w:w="3443"/>
        <w:gridCol w:w="3347"/>
        <w:gridCol w:w="1130"/>
        <w:gridCol w:w="19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9" w:hRule="atLeast"/>
          <w:jc w:val="center"/>
        </w:trPr>
        <w:tc>
          <w:tcPr>
            <w:tcW w:w="460" w:type="dxa"/>
            <w:vAlign w:val="top"/>
          </w:tcPr>
          <w:p>
            <w:pPr>
              <w:spacing w:before="50" w:line="201" w:lineRule="auto"/>
              <w:ind w:left="117"/>
              <w:rPr>
                <w:rFonts w:ascii="黑体" w:hAnsi="黑体" w:eastAsia="黑体" w:cs="黑体"/>
                <w:sz w:val="24"/>
                <w:szCs w:val="24"/>
              </w:rPr>
            </w:pPr>
            <w:r>
              <w:rPr>
                <w:rFonts w:ascii="黑体" w:hAnsi="黑体" w:eastAsia="黑体" w:cs="黑体"/>
                <w:sz w:val="24"/>
                <w:szCs w:val="24"/>
              </w:rPr>
              <w:t>序</w:t>
            </w:r>
          </w:p>
          <w:p>
            <w:pPr>
              <w:spacing w:line="213" w:lineRule="auto"/>
              <w:ind w:left="121"/>
              <w:rPr>
                <w:rFonts w:ascii="黑体" w:hAnsi="黑体" w:eastAsia="黑体" w:cs="黑体"/>
                <w:sz w:val="24"/>
                <w:szCs w:val="24"/>
              </w:rPr>
            </w:pPr>
            <w:r>
              <w:rPr>
                <w:rFonts w:ascii="黑体" w:hAnsi="黑体" w:eastAsia="黑体" w:cs="黑体"/>
                <w:sz w:val="24"/>
                <w:szCs w:val="24"/>
              </w:rPr>
              <w:t>号</w:t>
            </w:r>
          </w:p>
        </w:tc>
        <w:tc>
          <w:tcPr>
            <w:tcW w:w="732" w:type="dxa"/>
            <w:vAlign w:val="top"/>
          </w:tcPr>
          <w:p>
            <w:pPr>
              <w:spacing w:before="180" w:line="223" w:lineRule="auto"/>
              <w:ind w:left="125"/>
              <w:rPr>
                <w:rFonts w:ascii="黑体" w:hAnsi="黑体" w:eastAsia="黑体" w:cs="黑体"/>
                <w:sz w:val="24"/>
                <w:szCs w:val="24"/>
              </w:rPr>
            </w:pPr>
            <w:r>
              <w:rPr>
                <w:rFonts w:ascii="黑体" w:hAnsi="黑体" w:eastAsia="黑体" w:cs="黑体"/>
                <w:spacing w:val="-2"/>
                <w:sz w:val="24"/>
                <w:szCs w:val="24"/>
              </w:rPr>
              <w:t>措施</w:t>
            </w:r>
          </w:p>
        </w:tc>
        <w:tc>
          <w:tcPr>
            <w:tcW w:w="3366" w:type="dxa"/>
            <w:vAlign w:val="top"/>
          </w:tcPr>
          <w:p>
            <w:pPr>
              <w:spacing w:before="179" w:line="221" w:lineRule="auto"/>
              <w:ind w:left="1206"/>
              <w:rPr>
                <w:rFonts w:ascii="黑体" w:hAnsi="黑体" w:eastAsia="黑体" w:cs="黑体"/>
                <w:sz w:val="24"/>
                <w:szCs w:val="24"/>
              </w:rPr>
            </w:pPr>
            <w:r>
              <w:rPr>
                <w:rFonts w:ascii="黑体" w:hAnsi="黑体" w:eastAsia="黑体" w:cs="黑体"/>
                <w:spacing w:val="-2"/>
                <w:sz w:val="24"/>
                <w:szCs w:val="24"/>
              </w:rPr>
              <w:t>任务目标</w:t>
            </w:r>
          </w:p>
        </w:tc>
        <w:tc>
          <w:tcPr>
            <w:tcW w:w="3443" w:type="dxa"/>
            <w:vAlign w:val="top"/>
          </w:tcPr>
          <w:p>
            <w:pPr>
              <w:spacing w:before="179" w:line="222" w:lineRule="auto"/>
              <w:ind w:left="1248"/>
              <w:rPr>
                <w:rFonts w:ascii="黑体" w:hAnsi="黑体" w:eastAsia="黑体" w:cs="黑体"/>
                <w:sz w:val="24"/>
                <w:szCs w:val="24"/>
              </w:rPr>
            </w:pPr>
            <w:r>
              <w:rPr>
                <w:rFonts w:ascii="黑体" w:hAnsi="黑体" w:eastAsia="黑体" w:cs="黑体"/>
                <w:spacing w:val="-2"/>
                <w:sz w:val="24"/>
                <w:szCs w:val="24"/>
              </w:rPr>
              <w:t>工作内容</w:t>
            </w:r>
          </w:p>
        </w:tc>
        <w:tc>
          <w:tcPr>
            <w:tcW w:w="3347" w:type="dxa"/>
            <w:vAlign w:val="top"/>
          </w:tcPr>
          <w:p>
            <w:pPr>
              <w:spacing w:before="179" w:line="222" w:lineRule="auto"/>
              <w:ind w:left="1199"/>
              <w:rPr>
                <w:rFonts w:ascii="黑体" w:hAnsi="黑体" w:eastAsia="黑体" w:cs="黑体"/>
                <w:sz w:val="24"/>
                <w:szCs w:val="24"/>
              </w:rPr>
            </w:pPr>
            <w:r>
              <w:rPr>
                <w:rFonts w:ascii="黑体" w:hAnsi="黑体" w:eastAsia="黑体" w:cs="黑体"/>
                <w:spacing w:val="-2"/>
                <w:sz w:val="24"/>
                <w:szCs w:val="24"/>
              </w:rPr>
              <w:t>评价标准</w:t>
            </w:r>
          </w:p>
        </w:tc>
        <w:tc>
          <w:tcPr>
            <w:tcW w:w="1130" w:type="dxa"/>
            <w:vAlign w:val="top"/>
          </w:tcPr>
          <w:p>
            <w:pPr>
              <w:spacing w:before="50" w:line="201" w:lineRule="auto"/>
              <w:ind w:left="332"/>
              <w:rPr>
                <w:rFonts w:ascii="黑体" w:hAnsi="黑体" w:eastAsia="黑体" w:cs="黑体"/>
                <w:sz w:val="24"/>
                <w:szCs w:val="24"/>
              </w:rPr>
            </w:pPr>
            <w:r>
              <w:rPr>
                <w:rFonts w:ascii="黑体" w:hAnsi="黑体" w:eastAsia="黑体" w:cs="黑体"/>
                <w:spacing w:val="-3"/>
                <w:sz w:val="24"/>
                <w:szCs w:val="24"/>
              </w:rPr>
              <w:t>完成</w:t>
            </w:r>
          </w:p>
          <w:p>
            <w:pPr>
              <w:spacing w:line="213" w:lineRule="auto"/>
              <w:ind w:left="340"/>
              <w:rPr>
                <w:rFonts w:ascii="黑体" w:hAnsi="黑体" w:eastAsia="黑体" w:cs="黑体"/>
                <w:sz w:val="24"/>
                <w:szCs w:val="24"/>
              </w:rPr>
            </w:pPr>
            <w:r>
              <w:rPr>
                <w:rFonts w:ascii="黑体" w:hAnsi="黑体" w:eastAsia="黑体" w:cs="黑体"/>
                <w:spacing w:val="-5"/>
                <w:sz w:val="24"/>
                <w:szCs w:val="24"/>
              </w:rPr>
              <w:t>时限</w:t>
            </w:r>
          </w:p>
        </w:tc>
        <w:tc>
          <w:tcPr>
            <w:tcW w:w="1938" w:type="dxa"/>
            <w:vAlign w:val="top"/>
          </w:tcPr>
          <w:p>
            <w:pPr>
              <w:spacing w:before="50" w:line="207" w:lineRule="auto"/>
              <w:ind w:left="497" w:right="248" w:hanging="242"/>
              <w:rPr>
                <w:rFonts w:ascii="黑体" w:hAnsi="黑体" w:eastAsia="黑体" w:cs="黑体"/>
                <w:sz w:val="24"/>
                <w:szCs w:val="24"/>
              </w:rPr>
            </w:pPr>
            <w:r>
              <w:rPr>
                <w:rFonts w:hint="eastAsia" w:ascii="黑体" w:hAnsi="黑体" w:eastAsia="黑体" w:cs="黑体"/>
                <w:spacing w:val="-2"/>
                <w:sz w:val="24"/>
                <w:szCs w:val="24"/>
                <w:lang w:val="en-US" w:eastAsia="zh-CN"/>
              </w:rPr>
              <w:t>市</w:t>
            </w:r>
            <w:r>
              <w:rPr>
                <w:rFonts w:ascii="黑体" w:hAnsi="黑体" w:eastAsia="黑体" w:cs="黑体"/>
                <w:spacing w:val="-2"/>
                <w:sz w:val="24"/>
                <w:szCs w:val="24"/>
              </w:rPr>
              <w:t>卫生健康委</w:t>
            </w:r>
            <w:r>
              <w:rPr>
                <w:rFonts w:ascii="黑体" w:hAnsi="黑体" w:eastAsia="黑体" w:cs="黑体"/>
                <w:spacing w:val="-3"/>
                <w:sz w:val="24"/>
                <w:szCs w:val="24"/>
              </w:rPr>
              <w:t>责任</w:t>
            </w:r>
            <w:r>
              <w:rPr>
                <w:rFonts w:hint="eastAsia" w:ascii="黑体" w:hAnsi="黑体" w:eastAsia="黑体" w:cs="黑体"/>
                <w:spacing w:val="-3"/>
                <w:sz w:val="24"/>
                <w:szCs w:val="24"/>
                <w:lang w:val="en-US" w:eastAsia="zh-CN"/>
              </w:rPr>
              <w:t>科室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353" w:hRule="atLeast"/>
          <w:jc w:val="center"/>
        </w:trPr>
        <w:tc>
          <w:tcPr>
            <w:tcW w:w="460"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14"/>
              <w:spacing w:before="68" w:line="242" w:lineRule="auto"/>
              <w:ind w:left="181"/>
            </w:pPr>
            <w:r>
              <w:rPr>
                <w:rFonts w:ascii="Times New Roman" w:hAnsi="Times New Roman"/>
              </w:rPr>
              <w:t>8</w:t>
            </w:r>
          </w:p>
        </w:tc>
        <w:tc>
          <w:tcPr>
            <w:tcW w:w="732"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14"/>
              <w:spacing w:before="68" w:line="223" w:lineRule="auto"/>
              <w:ind w:left="157"/>
            </w:pPr>
            <w:r>
              <w:rPr>
                <w:spacing w:val="-2"/>
              </w:rPr>
              <w:t>深化</w:t>
            </w:r>
          </w:p>
          <w:p>
            <w:pPr>
              <w:pStyle w:val="14"/>
              <w:spacing w:before="6" w:line="221" w:lineRule="auto"/>
              <w:ind w:left="157"/>
            </w:pPr>
            <w:r>
              <w:rPr>
                <w:spacing w:val="-2"/>
              </w:rPr>
              <w:t>检查</w:t>
            </w:r>
          </w:p>
          <w:p>
            <w:pPr>
              <w:pStyle w:val="14"/>
              <w:spacing w:before="10" w:line="221" w:lineRule="auto"/>
              <w:ind w:left="157"/>
            </w:pPr>
            <w:r>
              <w:rPr>
                <w:spacing w:val="-2"/>
              </w:rPr>
              <w:t>检验</w:t>
            </w:r>
          </w:p>
          <w:p>
            <w:pPr>
              <w:pStyle w:val="14"/>
              <w:spacing w:before="7" w:line="222" w:lineRule="auto"/>
              <w:ind w:left="162"/>
            </w:pPr>
            <w:r>
              <w:rPr>
                <w:spacing w:val="-3"/>
              </w:rPr>
              <w:t>结果</w:t>
            </w:r>
          </w:p>
          <w:p>
            <w:pPr>
              <w:pStyle w:val="14"/>
              <w:spacing w:before="6" w:line="223" w:lineRule="auto"/>
              <w:ind w:left="160"/>
            </w:pPr>
            <w:r>
              <w:rPr>
                <w:spacing w:val="-3"/>
              </w:rPr>
              <w:t>互认</w:t>
            </w:r>
          </w:p>
          <w:p>
            <w:pPr>
              <w:pStyle w:val="14"/>
              <w:spacing w:before="8" w:line="221" w:lineRule="auto"/>
              <w:ind w:left="156"/>
            </w:pPr>
            <w:r>
              <w:rPr>
                <w:spacing w:val="-2"/>
              </w:rPr>
              <w:t>共享</w:t>
            </w:r>
          </w:p>
        </w:tc>
        <w:tc>
          <w:tcPr>
            <w:tcW w:w="3366" w:type="dxa"/>
            <w:vAlign w:val="top"/>
          </w:tcPr>
          <w:p>
            <w:pPr>
              <w:spacing w:line="440" w:lineRule="auto"/>
              <w:rPr>
                <w:rFonts w:ascii="Arial"/>
                <w:sz w:val="21"/>
              </w:rPr>
            </w:pPr>
          </w:p>
          <w:p>
            <w:pPr>
              <w:pStyle w:val="14"/>
              <w:spacing w:before="68" w:line="227" w:lineRule="auto"/>
              <w:ind w:left="111" w:right="103"/>
            </w:pPr>
            <w:r>
              <w:rPr>
                <w:spacing w:val="-1"/>
              </w:rPr>
              <w:t>①互认检验项目室内质控开展率达</w:t>
            </w:r>
            <w:r>
              <w:rPr>
                <w:spacing w:val="-5"/>
              </w:rPr>
              <w:t>到</w:t>
            </w:r>
            <w:r>
              <w:rPr>
                <w:rFonts w:ascii="Times New Roman" w:hAnsi="Times New Roman"/>
                <w:spacing w:val="-5"/>
              </w:rPr>
              <w:t>100%</w:t>
            </w:r>
            <w:r>
              <w:rPr>
                <w:spacing w:val="-5"/>
              </w:rPr>
              <w:t>，室间质量评价项目参加率</w:t>
            </w:r>
            <w:r>
              <w:rPr>
                <w:spacing w:val="-3"/>
              </w:rPr>
              <w:t>达到</w:t>
            </w:r>
            <w:r>
              <w:rPr>
                <w:rFonts w:ascii="Times New Roman" w:hAnsi="Times New Roman"/>
                <w:spacing w:val="-3"/>
              </w:rPr>
              <w:t>100%</w:t>
            </w:r>
            <w:r>
              <w:rPr>
                <w:spacing w:val="-3"/>
              </w:rPr>
              <w:t>，合格率大于</w:t>
            </w:r>
            <w:r>
              <w:rPr>
                <w:rFonts w:ascii="Times New Roman" w:hAnsi="Times New Roman"/>
                <w:spacing w:val="-3"/>
              </w:rPr>
              <w:t>95%</w:t>
            </w:r>
            <w:r>
              <w:rPr>
                <w:spacing w:val="-3"/>
              </w:rPr>
              <w:t>并逐步</w:t>
            </w:r>
            <w:r>
              <w:rPr>
                <w:spacing w:val="-8"/>
              </w:rPr>
              <w:t>提高。</w:t>
            </w:r>
          </w:p>
          <w:p>
            <w:pPr>
              <w:pStyle w:val="14"/>
              <w:spacing w:before="7" w:line="219" w:lineRule="auto"/>
              <w:ind w:left="110"/>
            </w:pPr>
            <w:r>
              <w:rPr>
                <w:spacing w:val="-1"/>
              </w:rPr>
              <w:t>②全</w:t>
            </w:r>
            <w:r>
              <w:rPr>
                <w:rFonts w:hint="eastAsia"/>
                <w:spacing w:val="-1"/>
                <w:lang w:val="en-US" w:eastAsia="zh-CN"/>
              </w:rPr>
              <w:t>市</w:t>
            </w:r>
            <w:r>
              <w:rPr>
                <w:spacing w:val="-1"/>
              </w:rPr>
              <w:t>检查检验互认项目扩充至</w:t>
            </w:r>
          </w:p>
          <w:p>
            <w:pPr>
              <w:pStyle w:val="14"/>
              <w:spacing w:before="9" w:line="222" w:lineRule="auto"/>
              <w:ind w:left="116"/>
            </w:pPr>
            <w:r>
              <w:rPr>
                <w:rFonts w:hint="eastAsia" w:ascii="Times New Roman" w:hAnsi="Times New Roman"/>
                <w:spacing w:val="-7"/>
                <w:lang w:val="en-US" w:eastAsia="zh-CN"/>
              </w:rPr>
              <w:t>300</w:t>
            </w:r>
            <w:r>
              <w:rPr>
                <w:spacing w:val="-7"/>
              </w:rPr>
              <w:t>项。</w:t>
            </w:r>
          </w:p>
          <w:p>
            <w:pPr>
              <w:pStyle w:val="14"/>
              <w:spacing w:before="9" w:line="225" w:lineRule="auto"/>
              <w:ind w:left="115" w:right="103" w:hanging="5"/>
            </w:pPr>
            <w:r>
              <w:rPr>
                <w:spacing w:val="-1"/>
              </w:rPr>
              <w:t>③紧密型医联体内所有检查检验结</w:t>
            </w:r>
            <w:r>
              <w:rPr>
                <w:spacing w:val="-2"/>
              </w:rPr>
              <w:t>果实现互认。</w:t>
            </w:r>
          </w:p>
          <w:p>
            <w:pPr>
              <w:pStyle w:val="14"/>
              <w:spacing w:before="7" w:line="225" w:lineRule="auto"/>
              <w:ind w:left="128" w:right="115" w:hanging="19"/>
              <w:rPr>
                <w:spacing w:val="0"/>
                <w:sz w:val="21"/>
              </w:rPr>
            </w:pPr>
            <w:r>
              <w:rPr>
                <w:sz w:val="19"/>
                <w:szCs w:val="19"/>
              </w:rPr>
              <w:t>④</w:t>
            </w:r>
            <w:r>
              <w:rPr>
                <w:spacing w:val="0"/>
                <w:sz w:val="21"/>
              </w:rPr>
              <w:t>全</w:t>
            </w:r>
            <w:r>
              <w:rPr>
                <w:rFonts w:hint="eastAsia"/>
                <w:spacing w:val="0"/>
                <w:sz w:val="21"/>
                <w:lang w:val="en-US" w:eastAsia="zh-CN"/>
              </w:rPr>
              <w:t>市</w:t>
            </w:r>
            <w:r>
              <w:rPr>
                <w:spacing w:val="0"/>
                <w:sz w:val="21"/>
              </w:rPr>
              <w:t>接入检查检验互认共享平台的医疗机构数量超过</w:t>
            </w:r>
            <w:r>
              <w:rPr>
                <w:rFonts w:hint="eastAsia" w:ascii="Times New Roman" w:hAnsi="Times New Roman"/>
                <w:spacing w:val="0"/>
                <w:sz w:val="21"/>
                <w:lang w:val="en-US" w:eastAsia="zh-CN"/>
              </w:rPr>
              <w:t>54</w:t>
            </w:r>
            <w:r>
              <w:rPr>
                <w:spacing w:val="0"/>
                <w:sz w:val="21"/>
              </w:rPr>
              <w:t>家。</w:t>
            </w:r>
          </w:p>
          <w:p>
            <w:pPr>
              <w:pStyle w:val="14"/>
              <w:spacing w:before="8" w:line="227" w:lineRule="auto"/>
              <w:ind w:left="114" w:right="103" w:hanging="5"/>
            </w:pPr>
            <w:r>
              <w:rPr>
                <w:sz w:val="19"/>
                <w:szCs w:val="19"/>
              </w:rPr>
              <w:t>⑤</w:t>
            </w:r>
            <w:r>
              <w:t>二级以上公立综合医院和中医医</w:t>
            </w:r>
            <w:r>
              <w:rPr>
                <w:spacing w:val="-1"/>
              </w:rPr>
              <w:t>院全部实现医学影像检查结果跨市</w:t>
            </w:r>
            <w:r>
              <w:rPr>
                <w:spacing w:val="-9"/>
              </w:rPr>
              <w:t>互认。</w:t>
            </w:r>
          </w:p>
        </w:tc>
        <w:tc>
          <w:tcPr>
            <w:tcW w:w="3443" w:type="dxa"/>
            <w:vAlign w:val="top"/>
          </w:tcPr>
          <w:p>
            <w:pPr>
              <w:spacing w:line="350" w:lineRule="auto"/>
              <w:rPr>
                <w:rFonts w:ascii="Arial"/>
                <w:sz w:val="21"/>
              </w:rPr>
            </w:pPr>
          </w:p>
          <w:p>
            <w:pPr>
              <w:spacing w:line="351" w:lineRule="auto"/>
              <w:rPr>
                <w:rFonts w:ascii="Arial"/>
                <w:sz w:val="21"/>
              </w:rPr>
            </w:pPr>
          </w:p>
          <w:p>
            <w:pPr>
              <w:pStyle w:val="14"/>
              <w:spacing w:before="68" w:line="228" w:lineRule="auto"/>
              <w:ind w:left="112" w:right="42"/>
            </w:pPr>
            <w:r>
              <w:rPr>
                <w:spacing w:val="-1"/>
              </w:rPr>
              <w:t>①</w:t>
            </w:r>
            <w:r>
              <w:rPr>
                <w:rFonts w:hint="eastAsia"/>
                <w:spacing w:val="-2"/>
                <w:lang w:eastAsia="zh-CN"/>
              </w:rPr>
              <w:t>各区县卫生健康局</w:t>
            </w:r>
            <w:r>
              <w:rPr>
                <w:spacing w:val="-1"/>
              </w:rPr>
              <w:t>要建立健全检查检验互认共享管理制度，加</w:t>
            </w:r>
            <w:r>
              <w:rPr>
                <w:spacing w:val="-5"/>
              </w:rPr>
              <w:t>强培训及管理，建立监测评估机制</w:t>
            </w:r>
            <w:r>
              <w:rPr>
                <w:rFonts w:hint="eastAsia"/>
                <w:spacing w:val="-5"/>
                <w:lang w:eastAsia="zh-CN"/>
              </w:rPr>
              <w:t>，</w:t>
            </w:r>
            <w:r>
              <w:rPr>
                <w:spacing w:val="-3"/>
              </w:rPr>
              <w:t>纠治过度检查检验。</w:t>
            </w:r>
          </w:p>
          <w:p>
            <w:pPr>
              <w:pStyle w:val="14"/>
              <w:spacing w:before="1" w:line="228" w:lineRule="auto"/>
              <w:ind w:left="111" w:right="179"/>
            </w:pPr>
            <w:r>
              <w:rPr>
                <w:spacing w:val="-1"/>
              </w:rPr>
              <w:t>②各级质控组织要指导各医疗机构及实验室规范开展室内质控和室间质控，提高质控水平。</w:t>
            </w:r>
          </w:p>
          <w:p>
            <w:pPr>
              <w:pStyle w:val="14"/>
              <w:spacing w:before="2" w:line="229" w:lineRule="auto"/>
              <w:ind w:left="113" w:right="179" w:hanging="2"/>
            </w:pPr>
            <w:r>
              <w:rPr>
                <w:spacing w:val="-1"/>
              </w:rPr>
              <w:t>③医疗机构要强化人员培训，指导医务人员规范开展检查检验；建立以公益性为导向的绩效分配制度，提高互认积极性。</w:t>
            </w:r>
          </w:p>
        </w:tc>
        <w:tc>
          <w:tcPr>
            <w:tcW w:w="3347" w:type="dxa"/>
            <w:vAlign w:val="top"/>
          </w:tcPr>
          <w:p>
            <w:pPr>
              <w:pStyle w:val="14"/>
              <w:spacing w:before="252" w:line="227" w:lineRule="auto"/>
              <w:ind w:left="113" w:right="101"/>
            </w:pPr>
            <w:r>
              <w:rPr>
                <w:spacing w:val="-2"/>
              </w:rPr>
              <w:t>①二级以上综合</w:t>
            </w:r>
            <w:r>
              <w:rPr>
                <w:spacing w:val="-1"/>
              </w:rPr>
              <w:t>医院和中医医院全部实现医学影</w:t>
            </w:r>
            <w:r>
              <w:rPr>
                <w:spacing w:val="-2"/>
              </w:rPr>
              <w:t>像检查结果省域内互认；辖区内接</w:t>
            </w:r>
            <w:r>
              <w:rPr>
                <w:spacing w:val="-1"/>
              </w:rPr>
              <w:t>入检查检验互认共享平台的医疗机构进一步增加。</w:t>
            </w:r>
          </w:p>
          <w:p>
            <w:pPr>
              <w:pStyle w:val="14"/>
              <w:spacing w:before="9" w:line="227" w:lineRule="auto"/>
              <w:ind w:left="112" w:right="101"/>
            </w:pPr>
            <w:r>
              <w:rPr>
                <w:spacing w:val="-2"/>
              </w:rPr>
              <w:t>②各医疗机构、各临床实验室互认检验项</w:t>
            </w:r>
            <w:r>
              <w:rPr>
                <w:spacing w:val="-1"/>
              </w:rPr>
              <w:t>目室内质控开展率和室间质量评价项目参加率、合格率进一步提</w:t>
            </w:r>
            <w:r>
              <w:rPr>
                <w:spacing w:val="-9"/>
              </w:rPr>
              <w:t>升。</w:t>
            </w:r>
          </w:p>
          <w:p>
            <w:pPr>
              <w:pStyle w:val="14"/>
              <w:spacing w:before="8" w:line="227" w:lineRule="auto"/>
              <w:ind w:left="113" w:right="101" w:hanging="1"/>
            </w:pPr>
            <w:r>
              <w:rPr>
                <w:spacing w:val="-2"/>
              </w:rPr>
              <w:t>③根据工作指引开展互认工作，遵循“互认后不允许开具同一检查检验项目”。医务人员规范开展检查检验，积极性进一步提</w:t>
            </w:r>
            <w:r>
              <w:rPr>
                <w:spacing w:val="-10"/>
              </w:rPr>
              <w:t>高。</w:t>
            </w:r>
          </w:p>
        </w:tc>
        <w:tc>
          <w:tcPr>
            <w:tcW w:w="1130"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14"/>
              <w:spacing w:before="68" w:line="221" w:lineRule="auto"/>
              <w:ind w:left="127"/>
            </w:pPr>
            <w:r>
              <w:rPr>
                <w:rFonts w:ascii="Times New Roman" w:hAnsi="Times New Roman"/>
                <w:spacing w:val="-2"/>
              </w:rPr>
              <w:t>2025</w:t>
            </w:r>
            <w:r>
              <w:rPr>
                <w:spacing w:val="-2"/>
              </w:rPr>
              <w:t>年底</w:t>
            </w:r>
          </w:p>
        </w:tc>
        <w:tc>
          <w:tcPr>
            <w:tcW w:w="1938"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14"/>
              <w:spacing w:before="68" w:line="223" w:lineRule="auto"/>
              <w:jc w:val="center"/>
              <w:rPr>
                <w:rFonts w:hint="eastAsia" w:eastAsia="宋体"/>
                <w:highlight w:val="none"/>
                <w:lang w:eastAsia="zh-CN"/>
              </w:rPr>
            </w:pPr>
            <w:r>
              <w:rPr>
                <w:rFonts w:hint="eastAsia"/>
                <w:spacing w:val="-4"/>
                <w:highlight w:val="none"/>
                <w:lang w:eastAsia="zh-CN"/>
              </w:rPr>
              <w:t>医政科</w:t>
            </w:r>
          </w:p>
          <w:p>
            <w:pPr>
              <w:pStyle w:val="14"/>
              <w:spacing w:before="2" w:line="221" w:lineRule="auto"/>
              <w:jc w:val="center"/>
              <w:rPr>
                <w:rFonts w:hint="eastAsia"/>
                <w:spacing w:val="-1"/>
                <w:highlight w:val="none"/>
                <w:lang w:val="en-US" w:eastAsia="zh-CN"/>
              </w:rPr>
            </w:pPr>
            <w:r>
              <w:rPr>
                <w:rFonts w:hint="eastAsia"/>
                <w:spacing w:val="-1"/>
                <w:highlight w:val="none"/>
                <w:lang w:val="en-US" w:eastAsia="zh-CN"/>
              </w:rPr>
              <w:t>规划信息科</w:t>
            </w:r>
          </w:p>
          <w:p>
            <w:pPr>
              <w:pStyle w:val="14"/>
              <w:spacing w:before="2" w:line="221" w:lineRule="auto"/>
              <w:jc w:val="center"/>
              <w:rPr>
                <w:rFonts w:hint="eastAsia" w:eastAsia="宋体"/>
                <w:highlight w:val="none"/>
                <w:lang w:eastAsia="zh-CN"/>
              </w:rPr>
            </w:pPr>
            <w:r>
              <w:rPr>
                <w:rFonts w:hint="eastAsia"/>
                <w:spacing w:val="-1"/>
                <w:highlight w:val="none"/>
                <w:lang w:eastAsia="zh-CN"/>
              </w:rPr>
              <w:t>基层卫生健康科</w:t>
            </w:r>
          </w:p>
          <w:p>
            <w:pPr>
              <w:pStyle w:val="14"/>
              <w:spacing w:before="10" w:line="222" w:lineRule="auto"/>
              <w:jc w:val="center"/>
              <w:rPr>
                <w:rFonts w:hint="eastAsia" w:eastAsia="宋体"/>
                <w:lang w:eastAsia="zh-CN"/>
              </w:rPr>
            </w:pPr>
            <w:r>
              <w:rPr>
                <w:rFonts w:hint="eastAsia"/>
                <w:spacing w:val="-4"/>
                <w:highlight w:val="none"/>
                <w:lang w:eastAsia="zh-CN"/>
              </w:rPr>
              <w:t>中医药管理科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33" w:hRule="atLeast"/>
          <w:jc w:val="center"/>
        </w:trPr>
        <w:tc>
          <w:tcPr>
            <w:tcW w:w="460"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14"/>
              <w:spacing w:before="68" w:line="242" w:lineRule="auto"/>
              <w:ind w:left="181"/>
            </w:pPr>
            <w:r>
              <w:rPr>
                <w:rFonts w:ascii="Times New Roman" w:hAnsi="Times New Roman"/>
              </w:rPr>
              <w:t>9</w:t>
            </w:r>
          </w:p>
        </w:tc>
        <w:tc>
          <w:tcPr>
            <w:tcW w:w="732"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14"/>
              <w:spacing w:before="68" w:line="223" w:lineRule="auto"/>
              <w:ind w:left="158"/>
            </w:pPr>
            <w:r>
              <w:rPr>
                <w:spacing w:val="-2"/>
              </w:rPr>
              <w:t>规范</w:t>
            </w:r>
          </w:p>
          <w:p>
            <w:pPr>
              <w:pStyle w:val="14"/>
              <w:spacing w:before="7" w:line="222" w:lineRule="auto"/>
              <w:ind w:left="171"/>
            </w:pPr>
            <w:r>
              <w:rPr>
                <w:spacing w:val="-5"/>
              </w:rPr>
              <w:t>院外</w:t>
            </w:r>
          </w:p>
          <w:p>
            <w:pPr>
              <w:pStyle w:val="14"/>
              <w:spacing w:before="6" w:line="221" w:lineRule="auto"/>
              <w:ind w:left="155"/>
            </w:pPr>
            <w:r>
              <w:rPr>
                <w:spacing w:val="-2"/>
              </w:rPr>
              <w:t>送检</w:t>
            </w:r>
          </w:p>
        </w:tc>
        <w:tc>
          <w:tcPr>
            <w:tcW w:w="3366"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14"/>
              <w:spacing w:before="68" w:line="219" w:lineRule="auto"/>
              <w:ind w:left="111"/>
            </w:pPr>
            <w:r>
              <w:rPr>
                <w:spacing w:val="-1"/>
              </w:rPr>
              <w:t>①全</w:t>
            </w:r>
            <w:r>
              <w:rPr>
                <w:rFonts w:hint="eastAsia"/>
                <w:spacing w:val="-1"/>
                <w:lang w:val="en-US" w:eastAsia="zh-CN"/>
              </w:rPr>
              <w:t>市</w:t>
            </w:r>
            <w:r>
              <w:rPr>
                <w:spacing w:val="-1"/>
              </w:rPr>
              <w:t>医疗机构院外送检流程管</w:t>
            </w:r>
          </w:p>
          <w:p>
            <w:pPr>
              <w:pStyle w:val="14"/>
              <w:spacing w:before="10" w:line="221" w:lineRule="auto"/>
              <w:ind w:left="114"/>
            </w:pPr>
            <w:r>
              <w:rPr>
                <w:spacing w:val="-2"/>
              </w:rPr>
              <w:t>理、检测质量管理规范落实。</w:t>
            </w:r>
          </w:p>
          <w:p>
            <w:pPr>
              <w:pStyle w:val="14"/>
              <w:spacing w:before="10" w:line="229" w:lineRule="auto"/>
              <w:ind w:left="112" w:right="103" w:hanging="2"/>
            </w:pPr>
            <w:r>
              <w:rPr>
                <w:spacing w:val="-1"/>
              </w:rPr>
              <w:t>②通过医联体、城市医疗集团和县域共同体等方式实施的院外送检项</w:t>
            </w:r>
            <w:r>
              <w:rPr>
                <w:spacing w:val="-4"/>
              </w:rPr>
              <w:t>目占比较</w:t>
            </w:r>
            <w:r>
              <w:rPr>
                <w:rFonts w:ascii="Times New Roman" w:hAnsi="Times New Roman"/>
                <w:spacing w:val="-4"/>
              </w:rPr>
              <w:t>2024</w:t>
            </w:r>
            <w:r>
              <w:rPr>
                <w:spacing w:val="-4"/>
              </w:rPr>
              <w:t>年明显提升。</w:t>
            </w:r>
          </w:p>
        </w:tc>
        <w:tc>
          <w:tcPr>
            <w:tcW w:w="3443" w:type="dxa"/>
            <w:vAlign w:val="center"/>
          </w:tcPr>
          <w:p>
            <w:pPr>
              <w:spacing w:line="309" w:lineRule="auto"/>
              <w:jc w:val="both"/>
              <w:rPr>
                <w:rFonts w:ascii="Arial"/>
                <w:sz w:val="21"/>
              </w:rPr>
            </w:pPr>
          </w:p>
          <w:p>
            <w:pPr>
              <w:pStyle w:val="14"/>
              <w:spacing w:before="68" w:line="229" w:lineRule="auto"/>
              <w:ind w:left="115" w:right="179" w:hanging="3"/>
              <w:jc w:val="both"/>
            </w:pPr>
            <w:r>
              <w:rPr>
                <w:spacing w:val="-1"/>
              </w:rPr>
              <w:t>①</w:t>
            </w:r>
            <w:r>
              <w:rPr>
                <w:rFonts w:hint="eastAsia"/>
                <w:spacing w:val="-2"/>
                <w:lang w:eastAsia="zh-CN"/>
              </w:rPr>
              <w:t>各区县卫生健康局</w:t>
            </w:r>
            <w:r>
              <w:rPr>
                <w:spacing w:val="-1"/>
              </w:rPr>
              <w:t>要指导辖区内送检医疗机构和接受机构完善</w:t>
            </w:r>
            <w:r>
              <w:rPr>
                <w:spacing w:val="-2"/>
              </w:rPr>
              <w:t>工作机制，按流程开展工作。</w:t>
            </w:r>
          </w:p>
          <w:p>
            <w:pPr>
              <w:pStyle w:val="14"/>
              <w:spacing w:before="3" w:line="228" w:lineRule="auto"/>
              <w:ind w:left="112" w:right="179" w:hanging="1"/>
              <w:jc w:val="both"/>
            </w:pPr>
            <w:r>
              <w:rPr>
                <w:spacing w:val="-1"/>
              </w:rPr>
              <w:t>②送检医疗机构要充分履行告知义务，加强外送样本质量管控，首先通过医联体、城市医疗集团和县域医共体等方式实施。规范外送基因检测管理，严控无明确指征、花费较高的检测项目。</w:t>
            </w:r>
          </w:p>
          <w:p>
            <w:pPr>
              <w:pStyle w:val="14"/>
              <w:spacing w:line="230" w:lineRule="auto"/>
              <w:ind w:left="115" w:right="179" w:hanging="4"/>
              <w:jc w:val="both"/>
            </w:pPr>
            <w:r>
              <w:rPr>
                <w:spacing w:val="-1"/>
              </w:rPr>
              <w:t>③接收机构要加强质量管理，并定期向送检医疗机构提供质量管理相</w:t>
            </w:r>
            <w:r>
              <w:rPr>
                <w:spacing w:val="-2"/>
              </w:rPr>
              <w:t>关数据。</w:t>
            </w:r>
          </w:p>
        </w:tc>
        <w:tc>
          <w:tcPr>
            <w:tcW w:w="3347" w:type="dxa"/>
            <w:vAlign w:val="center"/>
          </w:tcPr>
          <w:p>
            <w:pPr>
              <w:spacing w:line="285" w:lineRule="auto"/>
              <w:jc w:val="both"/>
              <w:rPr>
                <w:rFonts w:ascii="Arial"/>
                <w:sz w:val="21"/>
              </w:rPr>
            </w:pPr>
          </w:p>
          <w:p>
            <w:pPr>
              <w:pStyle w:val="14"/>
              <w:spacing w:before="6" w:line="229" w:lineRule="auto"/>
              <w:ind w:left="114" w:right="101" w:hanging="2"/>
              <w:jc w:val="both"/>
            </w:pPr>
            <w:r>
              <w:rPr>
                <w:spacing w:val="-2"/>
              </w:rPr>
              <w:t>①送检医疗机构加强外送样本的</w:t>
            </w:r>
            <w:r>
              <w:rPr>
                <w:spacing w:val="-1"/>
              </w:rPr>
              <w:t>质量管控，规范外送基因检测管</w:t>
            </w:r>
            <w:r>
              <w:rPr>
                <w:spacing w:val="-10"/>
              </w:rPr>
              <w:t>理。</w:t>
            </w:r>
          </w:p>
          <w:p>
            <w:pPr>
              <w:pStyle w:val="14"/>
              <w:spacing w:before="1" w:line="224" w:lineRule="auto"/>
              <w:ind w:left="121" w:right="101" w:hanging="9"/>
              <w:jc w:val="both"/>
            </w:pPr>
            <w:r>
              <w:rPr>
                <w:rFonts w:hint="eastAsia"/>
                <w:spacing w:val="-2"/>
                <w:lang w:val="en-US" w:eastAsia="zh-CN"/>
              </w:rPr>
              <w:t>②</w:t>
            </w:r>
            <w:r>
              <w:rPr>
                <w:spacing w:val="-2"/>
              </w:rPr>
              <w:t>接收机构</w:t>
            </w:r>
            <w:r>
              <w:rPr>
                <w:rFonts w:hint="eastAsia"/>
                <w:spacing w:val="-2"/>
                <w:lang w:val="en-US" w:eastAsia="zh-CN"/>
              </w:rPr>
              <w:t>要</w:t>
            </w:r>
            <w:r>
              <w:rPr>
                <w:spacing w:val="-2"/>
              </w:rPr>
              <w:t>加强质量管理并持续</w:t>
            </w:r>
            <w:r>
              <w:rPr>
                <w:spacing w:val="-10"/>
              </w:rPr>
              <w:t>改进。</w:t>
            </w:r>
          </w:p>
          <w:p>
            <w:pPr>
              <w:pStyle w:val="14"/>
              <w:spacing w:before="8" w:line="226" w:lineRule="auto"/>
              <w:ind w:left="114" w:right="101" w:hanging="2"/>
              <w:jc w:val="both"/>
            </w:pPr>
            <w:r>
              <w:rPr>
                <w:rFonts w:hint="eastAsia"/>
                <w:spacing w:val="-1"/>
                <w:sz w:val="19"/>
                <w:szCs w:val="19"/>
                <w:lang w:val="en-US" w:eastAsia="zh-CN"/>
              </w:rPr>
              <w:t>③</w:t>
            </w:r>
            <w:r>
              <w:rPr>
                <w:spacing w:val="-1"/>
              </w:rPr>
              <w:t>通过医联体、城市医疗集团和县域共同体等方式实施的</w:t>
            </w:r>
            <w:r>
              <w:rPr>
                <w:spacing w:val="-2"/>
              </w:rPr>
              <w:t>院外送检项目占比进一步提升。</w:t>
            </w:r>
          </w:p>
        </w:tc>
        <w:tc>
          <w:tcPr>
            <w:tcW w:w="1130"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14"/>
              <w:spacing w:before="69" w:line="221" w:lineRule="auto"/>
              <w:ind w:left="127"/>
            </w:pPr>
            <w:r>
              <w:rPr>
                <w:rFonts w:ascii="Times New Roman" w:hAnsi="Times New Roman"/>
                <w:spacing w:val="-2"/>
              </w:rPr>
              <w:t>2025</w:t>
            </w:r>
            <w:r>
              <w:rPr>
                <w:spacing w:val="-2"/>
              </w:rPr>
              <w:t>年底</w:t>
            </w:r>
          </w:p>
        </w:tc>
        <w:tc>
          <w:tcPr>
            <w:tcW w:w="1938" w:type="dxa"/>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14"/>
              <w:spacing w:before="68" w:line="223" w:lineRule="auto"/>
              <w:ind w:left="668"/>
              <w:rPr>
                <w:rFonts w:hint="eastAsia" w:eastAsia="宋体"/>
                <w:lang w:eastAsia="zh-CN"/>
              </w:rPr>
            </w:pPr>
            <w:r>
              <w:rPr>
                <w:rFonts w:hint="eastAsia"/>
                <w:spacing w:val="-4"/>
                <w:lang w:eastAsia="zh-CN"/>
              </w:rPr>
              <w:t>医政科</w:t>
            </w:r>
          </w:p>
          <w:p>
            <w:pPr>
              <w:pStyle w:val="14"/>
              <w:spacing w:before="8" w:line="221" w:lineRule="auto"/>
              <w:ind w:left="238"/>
              <w:rPr>
                <w:rFonts w:hint="eastAsia" w:eastAsia="宋体"/>
                <w:lang w:eastAsia="zh-CN"/>
              </w:rPr>
            </w:pPr>
            <w:r>
              <w:rPr>
                <w:rFonts w:hint="eastAsia"/>
                <w:spacing w:val="-1"/>
                <w:lang w:eastAsia="zh-CN"/>
              </w:rPr>
              <w:t>基层卫生健康科</w:t>
            </w:r>
          </w:p>
          <w:p>
            <w:pPr>
              <w:pStyle w:val="14"/>
              <w:spacing w:before="7" w:line="222" w:lineRule="auto"/>
              <w:jc w:val="center"/>
              <w:rPr>
                <w:rFonts w:hint="eastAsia" w:eastAsia="宋体"/>
                <w:lang w:eastAsia="zh-CN"/>
              </w:rPr>
            </w:pPr>
            <w:r>
              <w:rPr>
                <w:rFonts w:hint="eastAsia"/>
                <w:spacing w:val="-4"/>
                <w:highlight w:val="none"/>
                <w:lang w:eastAsia="zh-CN"/>
              </w:rPr>
              <w:t>中医药管理科</w:t>
            </w:r>
          </w:p>
        </w:tc>
      </w:tr>
    </w:tbl>
    <w:p>
      <w:pPr>
        <w:rPr>
          <w:rFonts w:ascii="Arial"/>
          <w:sz w:val="21"/>
        </w:rPr>
      </w:pPr>
    </w:p>
    <w:p>
      <w:pPr>
        <w:rPr>
          <w:rFonts w:ascii="Arial" w:hAnsi="Arial" w:eastAsia="Arial" w:cs="Arial"/>
          <w:sz w:val="21"/>
          <w:szCs w:val="21"/>
        </w:rPr>
        <w:sectPr>
          <w:footerReference r:id="rId7" w:type="default"/>
          <w:pgSz w:w="16838" w:h="11905" w:orient="landscape"/>
          <w:pgMar w:top="1015" w:right="556" w:bottom="1157" w:left="556" w:header="0" w:footer="992" w:gutter="0"/>
          <w:pgNumType w:fmt="decimal"/>
          <w:cols w:space="0" w:num="1"/>
          <w:rtlGutter w:val="0"/>
          <w:docGrid w:linePitch="0" w:charSpace="0"/>
        </w:sectPr>
      </w:pPr>
    </w:p>
    <w:p>
      <w:pPr>
        <w:spacing w:line="120" w:lineRule="exact"/>
      </w:pPr>
    </w:p>
    <w:tbl>
      <w:tblPr>
        <w:tblStyle w:val="12"/>
        <w:tblW w:w="14416"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0"/>
        <w:gridCol w:w="732"/>
        <w:gridCol w:w="3366"/>
        <w:gridCol w:w="3443"/>
        <w:gridCol w:w="3347"/>
        <w:gridCol w:w="1130"/>
        <w:gridCol w:w="19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9" w:hRule="atLeast"/>
          <w:jc w:val="center"/>
        </w:trPr>
        <w:tc>
          <w:tcPr>
            <w:tcW w:w="460" w:type="dxa"/>
            <w:vAlign w:val="top"/>
          </w:tcPr>
          <w:p>
            <w:pPr>
              <w:spacing w:before="50" w:line="201" w:lineRule="auto"/>
              <w:ind w:left="117"/>
              <w:rPr>
                <w:rFonts w:ascii="黑体" w:hAnsi="黑体" w:eastAsia="黑体" w:cs="黑体"/>
                <w:sz w:val="24"/>
                <w:szCs w:val="24"/>
              </w:rPr>
            </w:pPr>
            <w:r>
              <w:rPr>
                <w:rFonts w:ascii="黑体" w:hAnsi="黑体" w:eastAsia="黑体" w:cs="黑体"/>
                <w:sz w:val="24"/>
                <w:szCs w:val="24"/>
              </w:rPr>
              <w:t>序</w:t>
            </w:r>
          </w:p>
          <w:p>
            <w:pPr>
              <w:spacing w:line="213" w:lineRule="auto"/>
              <w:ind w:left="121"/>
              <w:rPr>
                <w:rFonts w:ascii="黑体" w:hAnsi="黑体" w:eastAsia="黑体" w:cs="黑体"/>
                <w:sz w:val="24"/>
                <w:szCs w:val="24"/>
              </w:rPr>
            </w:pPr>
            <w:r>
              <w:rPr>
                <w:rFonts w:ascii="黑体" w:hAnsi="黑体" w:eastAsia="黑体" w:cs="黑体"/>
                <w:sz w:val="24"/>
                <w:szCs w:val="24"/>
              </w:rPr>
              <w:t>号</w:t>
            </w:r>
          </w:p>
        </w:tc>
        <w:tc>
          <w:tcPr>
            <w:tcW w:w="732" w:type="dxa"/>
            <w:vAlign w:val="top"/>
          </w:tcPr>
          <w:p>
            <w:pPr>
              <w:spacing w:before="180" w:line="223" w:lineRule="auto"/>
              <w:ind w:left="125"/>
              <w:rPr>
                <w:rFonts w:ascii="黑体" w:hAnsi="黑体" w:eastAsia="黑体" w:cs="黑体"/>
                <w:sz w:val="24"/>
                <w:szCs w:val="24"/>
              </w:rPr>
            </w:pPr>
            <w:r>
              <w:rPr>
                <w:rFonts w:ascii="黑体" w:hAnsi="黑体" w:eastAsia="黑体" w:cs="黑体"/>
                <w:spacing w:val="-2"/>
                <w:sz w:val="24"/>
                <w:szCs w:val="24"/>
              </w:rPr>
              <w:t>措施</w:t>
            </w:r>
          </w:p>
        </w:tc>
        <w:tc>
          <w:tcPr>
            <w:tcW w:w="3366" w:type="dxa"/>
            <w:vAlign w:val="top"/>
          </w:tcPr>
          <w:p>
            <w:pPr>
              <w:spacing w:before="179" w:line="221" w:lineRule="auto"/>
              <w:ind w:left="1206"/>
              <w:rPr>
                <w:rFonts w:ascii="黑体" w:hAnsi="黑体" w:eastAsia="黑体" w:cs="黑体"/>
                <w:sz w:val="24"/>
                <w:szCs w:val="24"/>
              </w:rPr>
            </w:pPr>
            <w:r>
              <w:rPr>
                <w:rFonts w:ascii="黑体" w:hAnsi="黑体" w:eastAsia="黑体" w:cs="黑体"/>
                <w:spacing w:val="-2"/>
                <w:sz w:val="24"/>
                <w:szCs w:val="24"/>
              </w:rPr>
              <w:t>任务目标</w:t>
            </w:r>
          </w:p>
        </w:tc>
        <w:tc>
          <w:tcPr>
            <w:tcW w:w="3443" w:type="dxa"/>
            <w:vAlign w:val="top"/>
          </w:tcPr>
          <w:p>
            <w:pPr>
              <w:spacing w:before="179" w:line="222" w:lineRule="auto"/>
              <w:ind w:left="1248"/>
              <w:rPr>
                <w:rFonts w:ascii="黑体" w:hAnsi="黑体" w:eastAsia="黑体" w:cs="黑体"/>
                <w:sz w:val="24"/>
                <w:szCs w:val="24"/>
              </w:rPr>
            </w:pPr>
            <w:r>
              <w:rPr>
                <w:rFonts w:ascii="黑体" w:hAnsi="黑体" w:eastAsia="黑体" w:cs="黑体"/>
                <w:spacing w:val="-2"/>
                <w:sz w:val="24"/>
                <w:szCs w:val="24"/>
              </w:rPr>
              <w:t>工作内容</w:t>
            </w:r>
          </w:p>
        </w:tc>
        <w:tc>
          <w:tcPr>
            <w:tcW w:w="3347" w:type="dxa"/>
            <w:vAlign w:val="top"/>
          </w:tcPr>
          <w:p>
            <w:pPr>
              <w:spacing w:before="179" w:line="222" w:lineRule="auto"/>
              <w:ind w:left="1199"/>
              <w:rPr>
                <w:rFonts w:ascii="黑体" w:hAnsi="黑体" w:eastAsia="黑体" w:cs="黑体"/>
                <w:sz w:val="24"/>
                <w:szCs w:val="24"/>
              </w:rPr>
            </w:pPr>
            <w:r>
              <w:rPr>
                <w:rFonts w:ascii="黑体" w:hAnsi="黑体" w:eastAsia="黑体" w:cs="黑体"/>
                <w:spacing w:val="-2"/>
                <w:sz w:val="24"/>
                <w:szCs w:val="24"/>
              </w:rPr>
              <w:t>评价标准</w:t>
            </w:r>
          </w:p>
        </w:tc>
        <w:tc>
          <w:tcPr>
            <w:tcW w:w="1130" w:type="dxa"/>
            <w:vAlign w:val="top"/>
          </w:tcPr>
          <w:p>
            <w:pPr>
              <w:spacing w:before="50" w:line="201" w:lineRule="auto"/>
              <w:ind w:left="332"/>
              <w:rPr>
                <w:rFonts w:ascii="黑体" w:hAnsi="黑体" w:eastAsia="黑体" w:cs="黑体"/>
                <w:sz w:val="24"/>
                <w:szCs w:val="24"/>
              </w:rPr>
            </w:pPr>
            <w:r>
              <w:rPr>
                <w:rFonts w:ascii="黑体" w:hAnsi="黑体" w:eastAsia="黑体" w:cs="黑体"/>
                <w:spacing w:val="-3"/>
                <w:sz w:val="24"/>
                <w:szCs w:val="24"/>
              </w:rPr>
              <w:t>完成</w:t>
            </w:r>
          </w:p>
          <w:p>
            <w:pPr>
              <w:spacing w:line="213" w:lineRule="auto"/>
              <w:ind w:left="340"/>
              <w:rPr>
                <w:rFonts w:ascii="黑体" w:hAnsi="黑体" w:eastAsia="黑体" w:cs="黑体"/>
                <w:sz w:val="24"/>
                <w:szCs w:val="24"/>
              </w:rPr>
            </w:pPr>
            <w:r>
              <w:rPr>
                <w:rFonts w:ascii="黑体" w:hAnsi="黑体" w:eastAsia="黑体" w:cs="黑体"/>
                <w:spacing w:val="-5"/>
                <w:sz w:val="24"/>
                <w:szCs w:val="24"/>
              </w:rPr>
              <w:t>时限</w:t>
            </w:r>
          </w:p>
        </w:tc>
        <w:tc>
          <w:tcPr>
            <w:tcW w:w="1938" w:type="dxa"/>
            <w:vAlign w:val="top"/>
          </w:tcPr>
          <w:p>
            <w:pPr>
              <w:spacing w:before="50" w:line="207" w:lineRule="auto"/>
              <w:ind w:left="497" w:right="248" w:hanging="242"/>
              <w:rPr>
                <w:rFonts w:ascii="黑体" w:hAnsi="黑体" w:eastAsia="黑体" w:cs="黑体"/>
                <w:sz w:val="24"/>
                <w:szCs w:val="24"/>
              </w:rPr>
            </w:pPr>
            <w:r>
              <w:rPr>
                <w:rFonts w:hint="eastAsia" w:ascii="黑体" w:hAnsi="黑体" w:eastAsia="黑体" w:cs="黑体"/>
                <w:spacing w:val="-2"/>
                <w:sz w:val="24"/>
                <w:szCs w:val="24"/>
                <w:lang w:val="en-US" w:eastAsia="zh-CN"/>
              </w:rPr>
              <w:t>市</w:t>
            </w:r>
            <w:r>
              <w:rPr>
                <w:rFonts w:ascii="黑体" w:hAnsi="黑体" w:eastAsia="黑体" w:cs="黑体"/>
                <w:spacing w:val="-2"/>
                <w:sz w:val="24"/>
                <w:szCs w:val="24"/>
              </w:rPr>
              <w:t>卫生健康委</w:t>
            </w:r>
            <w:r>
              <w:rPr>
                <w:rFonts w:ascii="黑体" w:hAnsi="黑体" w:eastAsia="黑体" w:cs="黑体"/>
                <w:spacing w:val="-3"/>
                <w:sz w:val="24"/>
                <w:szCs w:val="24"/>
              </w:rPr>
              <w:t>责任</w:t>
            </w:r>
            <w:r>
              <w:rPr>
                <w:rFonts w:hint="eastAsia" w:ascii="黑体" w:hAnsi="黑体" w:eastAsia="黑体" w:cs="黑体"/>
                <w:spacing w:val="-3"/>
                <w:sz w:val="24"/>
                <w:szCs w:val="24"/>
                <w:lang w:val="en-US" w:eastAsia="zh-CN"/>
              </w:rPr>
              <w:t>科室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48" w:hRule="atLeast"/>
          <w:jc w:val="center"/>
        </w:trPr>
        <w:tc>
          <w:tcPr>
            <w:tcW w:w="460"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14"/>
              <w:spacing w:before="68" w:line="242" w:lineRule="auto"/>
              <w:ind w:left="143"/>
            </w:pPr>
            <w:r>
              <w:rPr>
                <w:rFonts w:ascii="Times New Roman" w:hAnsi="Times New Roman"/>
                <w:spacing w:val="-6"/>
              </w:rPr>
              <w:t>10</w:t>
            </w:r>
          </w:p>
        </w:tc>
        <w:tc>
          <w:tcPr>
            <w:tcW w:w="732"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14"/>
              <w:spacing w:before="69" w:line="224" w:lineRule="auto"/>
              <w:ind w:left="157"/>
            </w:pPr>
            <w:r>
              <w:rPr>
                <w:spacing w:val="-2"/>
              </w:rPr>
              <w:t>加强</w:t>
            </w:r>
          </w:p>
          <w:p>
            <w:pPr>
              <w:pStyle w:val="14"/>
              <w:spacing w:before="6" w:line="226" w:lineRule="auto"/>
              <w:ind w:left="158"/>
            </w:pPr>
            <w:r>
              <w:rPr>
                <w:spacing w:val="-2"/>
              </w:rPr>
              <w:t>重点</w:t>
            </w:r>
          </w:p>
          <w:p>
            <w:pPr>
              <w:pStyle w:val="14"/>
              <w:spacing w:before="2" w:line="222" w:lineRule="auto"/>
              <w:ind w:left="160"/>
            </w:pPr>
            <w:r>
              <w:rPr>
                <w:spacing w:val="-3"/>
              </w:rPr>
              <w:t>药品</w:t>
            </w:r>
          </w:p>
          <w:p>
            <w:pPr>
              <w:pStyle w:val="14"/>
              <w:spacing w:before="6" w:line="221" w:lineRule="auto"/>
              <w:ind w:left="169"/>
            </w:pPr>
            <w:r>
              <w:rPr>
                <w:spacing w:val="-5"/>
              </w:rPr>
              <w:t>临床</w:t>
            </w:r>
          </w:p>
          <w:p>
            <w:pPr>
              <w:pStyle w:val="14"/>
              <w:spacing w:before="9" w:line="223" w:lineRule="auto"/>
              <w:ind w:left="157"/>
            </w:pPr>
            <w:r>
              <w:rPr>
                <w:spacing w:val="-2"/>
              </w:rPr>
              <w:t>应用</w:t>
            </w:r>
          </w:p>
          <w:p>
            <w:pPr>
              <w:pStyle w:val="14"/>
              <w:spacing w:before="6" w:line="221" w:lineRule="auto"/>
              <w:ind w:left="161"/>
            </w:pPr>
            <w:r>
              <w:rPr>
                <w:spacing w:val="-3"/>
              </w:rPr>
              <w:t>管理</w:t>
            </w:r>
          </w:p>
        </w:tc>
        <w:tc>
          <w:tcPr>
            <w:tcW w:w="3366" w:type="dxa"/>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14"/>
              <w:spacing w:before="68" w:line="229" w:lineRule="auto"/>
              <w:ind w:left="111" w:right="103"/>
            </w:pPr>
            <w:r>
              <w:rPr>
                <w:spacing w:val="-1"/>
              </w:rPr>
              <w:t>①接受特殊使用级抗菌药物治疗的住院患者抗菌药物使用前微生物送</w:t>
            </w:r>
            <w:r>
              <w:rPr>
                <w:spacing w:val="-2"/>
              </w:rPr>
              <w:t>检率不低于</w:t>
            </w:r>
            <w:r>
              <w:rPr>
                <w:rFonts w:ascii="Times New Roman" w:hAnsi="Times New Roman"/>
                <w:spacing w:val="-2"/>
              </w:rPr>
              <w:t>80%</w:t>
            </w:r>
            <w:r>
              <w:rPr>
                <w:spacing w:val="-2"/>
              </w:rPr>
              <w:t>。</w:t>
            </w:r>
          </w:p>
          <w:p>
            <w:pPr>
              <w:pStyle w:val="14"/>
              <w:spacing w:before="2" w:line="228" w:lineRule="auto"/>
              <w:ind w:left="110" w:right="103"/>
            </w:pPr>
            <w:r>
              <w:rPr>
                <w:spacing w:val="-1"/>
              </w:rPr>
              <w:t>②所有二级以上医院使用抗肿瘤药物前取得病理诊断支持（难以进行</w:t>
            </w:r>
            <w:r>
              <w:rPr>
                <w:spacing w:val="-3"/>
              </w:rPr>
              <w:t>病理诊断的除外）。</w:t>
            </w:r>
          </w:p>
          <w:p>
            <w:pPr>
              <w:pStyle w:val="14"/>
              <w:spacing w:line="229" w:lineRule="auto"/>
              <w:ind w:left="112" w:right="28" w:hanging="2"/>
            </w:pPr>
            <w:r>
              <w:rPr>
                <w:spacing w:val="-1"/>
              </w:rPr>
              <w:t>③所有医疗机构在为疼痛患者开具</w:t>
            </w:r>
            <w:r>
              <w:rPr>
                <w:spacing w:val="-9"/>
              </w:rPr>
              <w:t>麻精药品处方前，均开展疼痛评估。</w:t>
            </w:r>
          </w:p>
        </w:tc>
        <w:tc>
          <w:tcPr>
            <w:tcW w:w="3443"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14"/>
              <w:spacing w:before="68" w:line="229" w:lineRule="auto"/>
              <w:ind w:left="124" w:right="179" w:hanging="12"/>
            </w:pPr>
            <w:r>
              <w:rPr>
                <w:spacing w:val="-1"/>
              </w:rPr>
              <w:t>①医疗机构要规范特殊级抗菌药物</w:t>
            </w:r>
            <w:r>
              <w:rPr>
                <w:spacing w:val="-4"/>
              </w:rPr>
              <w:t>临床应用会诊管理。</w:t>
            </w:r>
          </w:p>
          <w:p>
            <w:pPr>
              <w:pStyle w:val="14"/>
              <w:spacing w:before="2" w:line="228" w:lineRule="auto"/>
              <w:ind w:left="112" w:right="179" w:hanging="1"/>
            </w:pPr>
            <w:r>
              <w:rPr>
                <w:spacing w:val="-1"/>
              </w:rPr>
              <w:t>②医疗机构要进一步规范抗肿瘤药</w:t>
            </w:r>
            <w:r>
              <w:rPr>
                <w:spacing w:val="-2"/>
              </w:rPr>
              <w:t>物管理。</w:t>
            </w:r>
          </w:p>
          <w:p>
            <w:pPr>
              <w:pStyle w:val="14"/>
              <w:spacing w:line="229" w:lineRule="auto"/>
              <w:ind w:left="115" w:right="179" w:hanging="4"/>
            </w:pPr>
            <w:r>
              <w:rPr>
                <w:spacing w:val="-1"/>
              </w:rPr>
              <w:t>③医疗机构要规范麻精药品处方管</w:t>
            </w:r>
            <w:r>
              <w:rPr>
                <w:spacing w:val="-3"/>
              </w:rPr>
              <w:t>理及癌痛患者疼痛评估。</w:t>
            </w:r>
          </w:p>
        </w:tc>
        <w:tc>
          <w:tcPr>
            <w:tcW w:w="3347" w:type="dxa"/>
            <w:vAlign w:val="top"/>
          </w:tcPr>
          <w:p>
            <w:pPr>
              <w:spacing w:line="346" w:lineRule="auto"/>
              <w:rPr>
                <w:rFonts w:ascii="Arial"/>
                <w:sz w:val="21"/>
              </w:rPr>
            </w:pPr>
          </w:p>
          <w:p>
            <w:pPr>
              <w:pStyle w:val="14"/>
              <w:spacing w:before="69" w:line="226" w:lineRule="auto"/>
              <w:ind w:left="113" w:right="101"/>
            </w:pPr>
            <w:r>
              <w:rPr>
                <w:spacing w:val="-2"/>
              </w:rPr>
              <w:t>①</w:t>
            </w:r>
            <w:r>
              <w:rPr>
                <w:rFonts w:hint="eastAsia"/>
                <w:spacing w:val="-2"/>
                <w:lang w:val="en-US" w:eastAsia="zh-CN"/>
              </w:rPr>
              <w:t>市、区县卫生健康行政部门</w:t>
            </w:r>
            <w:r>
              <w:rPr>
                <w:spacing w:val="-2"/>
              </w:rPr>
              <w:t>加强辖区内医疗机构抗菌药物、抗肿瘤药物、麻</w:t>
            </w:r>
            <w:r>
              <w:rPr>
                <w:spacing w:val="-1"/>
              </w:rPr>
              <w:t>精药品管理。</w:t>
            </w:r>
          </w:p>
          <w:p>
            <w:pPr>
              <w:pStyle w:val="14"/>
              <w:spacing w:before="5" w:line="228" w:lineRule="auto"/>
              <w:ind w:left="114" w:right="101" w:hanging="2"/>
            </w:pPr>
            <w:r>
              <w:rPr>
                <w:spacing w:val="-2"/>
              </w:rPr>
              <w:t>②</w:t>
            </w:r>
            <w:r>
              <w:rPr>
                <w:rFonts w:hint="eastAsia"/>
                <w:spacing w:val="-2"/>
                <w:lang w:val="en-US" w:eastAsia="zh-CN"/>
              </w:rPr>
              <w:t>各</w:t>
            </w:r>
            <w:r>
              <w:rPr>
                <w:spacing w:val="-2"/>
              </w:rPr>
              <w:t>医疗机构接受特殊使用级抗菌</w:t>
            </w:r>
            <w:r>
              <w:rPr>
                <w:spacing w:val="-1"/>
              </w:rPr>
              <w:t>药物治疗的住院患者抗菌药物使</w:t>
            </w:r>
            <w:r>
              <w:rPr>
                <w:spacing w:val="-2"/>
              </w:rPr>
              <w:t>用前微生物送检率不低于</w:t>
            </w:r>
            <w:r>
              <w:rPr>
                <w:rFonts w:ascii="Times New Roman" w:hAnsi="Times New Roman"/>
                <w:spacing w:val="-2"/>
              </w:rPr>
              <w:t>80%</w:t>
            </w:r>
            <w:r>
              <w:rPr>
                <w:spacing w:val="-2"/>
              </w:rPr>
              <w:t>；所</w:t>
            </w:r>
            <w:r>
              <w:rPr>
                <w:spacing w:val="-1"/>
              </w:rPr>
              <w:t>有二级以上医院使用抗肿瘤药物</w:t>
            </w:r>
            <w:r>
              <w:rPr>
                <w:spacing w:val="-2"/>
              </w:rPr>
              <w:t>前取得病理诊断支持（难以进行病</w:t>
            </w:r>
            <w:r>
              <w:rPr>
                <w:spacing w:val="-1"/>
              </w:rPr>
              <w:t>理诊断的除外</w:t>
            </w:r>
            <w:r>
              <w:rPr>
                <w:spacing w:val="-7"/>
              </w:rPr>
              <w:t>）</w:t>
            </w:r>
            <w:r>
              <w:rPr>
                <w:rFonts w:hint="eastAsia"/>
                <w:spacing w:val="-7"/>
                <w:lang w:eastAsia="zh-CN"/>
              </w:rPr>
              <w:t>；</w:t>
            </w:r>
            <w:r>
              <w:rPr>
                <w:spacing w:val="-1"/>
              </w:rPr>
              <w:t>所有医疗机构在</w:t>
            </w:r>
            <w:r>
              <w:rPr>
                <w:spacing w:val="-2"/>
              </w:rPr>
              <w:t>为疼痛患者开具麻精药品处方前，</w:t>
            </w:r>
            <w:r>
              <w:rPr>
                <w:spacing w:val="-1"/>
              </w:rPr>
              <w:t>均开展疼痛评估。</w:t>
            </w:r>
          </w:p>
        </w:tc>
        <w:tc>
          <w:tcPr>
            <w:tcW w:w="1130"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14"/>
              <w:spacing w:before="68" w:line="221" w:lineRule="auto"/>
              <w:ind w:left="127"/>
            </w:pPr>
            <w:r>
              <w:rPr>
                <w:rFonts w:ascii="Times New Roman" w:hAnsi="Times New Roman"/>
                <w:spacing w:val="-2"/>
              </w:rPr>
              <w:t>2025</w:t>
            </w:r>
            <w:r>
              <w:rPr>
                <w:spacing w:val="-2"/>
              </w:rPr>
              <w:t>年底</w:t>
            </w:r>
          </w:p>
        </w:tc>
        <w:tc>
          <w:tcPr>
            <w:tcW w:w="1938"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pStyle w:val="14"/>
              <w:spacing w:before="68" w:line="223" w:lineRule="auto"/>
              <w:jc w:val="center"/>
              <w:rPr>
                <w:rFonts w:hint="eastAsia" w:eastAsia="宋体"/>
                <w:highlight w:val="none"/>
                <w:lang w:eastAsia="zh-CN"/>
              </w:rPr>
            </w:pPr>
            <w:r>
              <w:rPr>
                <w:rFonts w:hint="eastAsia"/>
                <w:spacing w:val="-4"/>
                <w:highlight w:val="none"/>
                <w:lang w:eastAsia="zh-CN"/>
              </w:rPr>
              <w:t>医政科</w:t>
            </w:r>
          </w:p>
          <w:p>
            <w:pPr>
              <w:pStyle w:val="14"/>
              <w:spacing w:before="6" w:line="221" w:lineRule="auto"/>
              <w:jc w:val="center"/>
              <w:rPr>
                <w:rFonts w:hint="eastAsia" w:eastAsia="宋体"/>
                <w:highlight w:val="none"/>
                <w:lang w:eastAsia="zh-CN"/>
              </w:rPr>
            </w:pPr>
            <w:r>
              <w:rPr>
                <w:rFonts w:hint="eastAsia"/>
                <w:spacing w:val="-1"/>
                <w:highlight w:val="none"/>
                <w:lang w:eastAsia="zh-CN"/>
              </w:rPr>
              <w:t>基层卫生健康科</w:t>
            </w:r>
          </w:p>
          <w:p>
            <w:pPr>
              <w:pStyle w:val="14"/>
              <w:spacing w:before="9" w:line="222" w:lineRule="auto"/>
              <w:jc w:val="center"/>
              <w:rPr>
                <w:rFonts w:hint="eastAsia" w:eastAsia="宋体"/>
                <w:lang w:eastAsia="zh-CN"/>
              </w:rPr>
            </w:pPr>
            <w:r>
              <w:rPr>
                <w:rFonts w:hint="eastAsia"/>
                <w:spacing w:val="-4"/>
                <w:highlight w:val="none"/>
                <w:lang w:eastAsia="zh-CN"/>
              </w:rPr>
              <w:t>中医药管理科</w:t>
            </w:r>
          </w:p>
        </w:tc>
      </w:tr>
    </w:tbl>
    <w:p/>
    <w:p/>
    <w:p>
      <w:pPr>
        <w:pStyle w:val="5"/>
      </w:pPr>
    </w:p>
    <w:p/>
    <w:p>
      <w:pPr>
        <w:pStyle w:val="5"/>
      </w:pPr>
    </w:p>
    <w:p>
      <w:pPr>
        <w:sectPr>
          <w:pgSz w:w="16839" w:h="11907" w:orient="landscape"/>
          <w:pgMar w:top="1587" w:right="2098" w:bottom="1474" w:left="1984" w:header="0" w:footer="952" w:gutter="0"/>
          <w:pgNumType w:fmt="decimal"/>
          <w:cols w:space="0" w:num="1"/>
          <w:rtlGutter w:val="0"/>
          <w:docGrid w:linePitch="0" w:charSpace="0"/>
        </w:sectPr>
      </w:pPr>
    </w:p>
    <w:p>
      <w:pPr>
        <w:pStyle w:val="5"/>
      </w:pPr>
    </w:p>
    <w:p>
      <w:pPr>
        <w:pStyle w:val="5"/>
      </w:pPr>
    </w:p>
    <w:p/>
    <w:p>
      <w:pPr>
        <w:pStyle w:val="5"/>
      </w:pPr>
    </w:p>
    <w:p/>
    <w:p>
      <w:pPr>
        <w:pStyle w:val="5"/>
      </w:pPr>
    </w:p>
    <w:p/>
    <w:p>
      <w:pPr>
        <w:pStyle w:val="5"/>
      </w:pPr>
    </w:p>
    <w:p/>
    <w:p>
      <w:pPr>
        <w:pStyle w:val="5"/>
      </w:pPr>
    </w:p>
    <w:p/>
    <w:p>
      <w:pPr>
        <w:pStyle w:val="5"/>
      </w:pPr>
    </w:p>
    <w:p/>
    <w:p>
      <w:pPr>
        <w:pStyle w:val="5"/>
      </w:pPr>
    </w:p>
    <w:p/>
    <w:p>
      <w:pPr>
        <w:pStyle w:val="5"/>
      </w:pPr>
    </w:p>
    <w:p/>
    <w:p>
      <w:pPr>
        <w:pStyle w:val="2"/>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560" w:firstLineChars="200"/>
        <w:jc w:val="left"/>
        <w:textAlignment w:val="auto"/>
        <w:outlineLvl w:val="9"/>
        <w:rPr>
          <w:rFonts w:hint="eastAsia" w:ascii="仿宋_GB2312" w:hAnsi="仿宋_GB2312" w:eastAsia="仿宋_GB2312" w:cs="仿宋_GB2312"/>
          <w:snapToGrid/>
          <w:kern w:val="2"/>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560" w:lineRule="exact"/>
        <w:ind w:firstLine="280" w:firstLineChars="100"/>
        <w:jc w:val="both"/>
        <w:textAlignment w:val="auto"/>
        <w:outlineLvl w:val="9"/>
        <w:rPr>
          <w:rFonts w:hint="eastAsia" w:ascii="仿宋_GB2312" w:hAnsi="仿宋_GB2312" w:eastAsia="仿宋_GB2312" w:cs="仿宋_GB2312"/>
          <w:snapToGrid/>
          <w:color w:val="000000"/>
          <w:kern w:val="2"/>
          <w:sz w:val="28"/>
          <w:szCs w:val="28"/>
          <w:lang w:val="en-US" w:eastAsia="zh-CN"/>
        </w:rPr>
      </w:pPr>
      <w:r>
        <w:rPr>
          <w:rFonts w:hint="eastAsia" w:ascii="仿宋_GB2312" w:hAnsi="仿宋_GB2312" w:eastAsia="仿宋_GB2312" w:cs="仿宋_GB2312"/>
          <w:snapToGrid/>
          <w:color w:val="000000"/>
          <w:kern w:val="2"/>
          <w:sz w:val="28"/>
          <w:szCs w:val="28"/>
          <w:lang w:val="en-US" w:eastAsia="zh-CN"/>
        </w:rPr>
        <mc:AlternateContent>
          <mc:Choice Requires="wps">
            <w:drawing>
              <wp:anchor distT="0" distB="0" distL="114300" distR="114300" simplePos="0" relativeHeight="251659264" behindDoc="0" locked="0" layoutInCell="1" allowOverlap="1">
                <wp:simplePos x="0" y="0"/>
                <wp:positionH relativeFrom="column">
                  <wp:posOffset>-35560</wp:posOffset>
                </wp:positionH>
                <wp:positionV relativeFrom="paragraph">
                  <wp:posOffset>402590</wp:posOffset>
                </wp:positionV>
                <wp:extent cx="561594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2.8pt;margin-top:31.7pt;height:0pt;width:442.2pt;z-index:251659264;mso-width-relative:page;mso-height-relative:page;" filled="f" stroked="t" coordsize="21600,21600" o:gfxdata="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WW5o+1gAAAAgBAAAP&#10;AAAAAAAAAAEAIAAAACIAAABkcnMvZG93bnJldi54bWxQSwECFAAUAAAACACHTuJA81eTVeEBAACg&#10;AwAADgAAAAAAAAABACAAAAAlAQAAZHJzL2Uyb0RvYy54bWxQSwUGAAAAAAYABgBZAQAAeAUAAAAA&#10;">
                <v:fill on="f" focussize="0,0"/>
                <v:stroke color="#000000" joinstyle="round"/>
                <v:imagedata o:title=""/>
                <o:lock v:ext="edit" aspectratio="f"/>
              </v:line>
            </w:pict>
          </mc:Fallback>
        </mc:AlternateContent>
      </w:r>
      <w:r>
        <w:rPr>
          <w:rFonts w:hint="eastAsia" w:ascii="仿宋_GB2312" w:hAnsi="仿宋_GB2312" w:eastAsia="仿宋_GB2312" w:cs="仿宋_GB2312"/>
          <w:snapToGrid/>
          <w:color w:val="000000"/>
          <w:kern w:val="2"/>
          <w:sz w:val="28"/>
          <w:szCs w:val="28"/>
          <w:lang w:val="en-US" w:eastAsia="zh-CN"/>
        </w:rPr>
        <mc:AlternateContent>
          <mc:Choice Requires="wps">
            <w:drawing>
              <wp:anchor distT="0" distB="0" distL="114300" distR="114300" simplePos="0" relativeHeight="251658240" behindDoc="0" locked="0" layoutInCell="1" allowOverlap="1">
                <wp:simplePos x="0" y="0"/>
                <wp:positionH relativeFrom="column">
                  <wp:posOffset>-35560</wp:posOffset>
                </wp:positionH>
                <wp:positionV relativeFrom="paragraph">
                  <wp:posOffset>0</wp:posOffset>
                </wp:positionV>
                <wp:extent cx="5615940"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8pt;margin-top:0pt;height:0pt;width:442.2pt;z-index:251658240;mso-width-relative:page;mso-height-relative:page;" filled="f" stroked="t" coordsize="21600,21600" o:gfxdata="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1tHfg0gAAAAQBAAAPAAAAAAAA&#10;AAEAIAAAACIAAABkcnMvZG93bnJldi54bWxQSwECFAAUAAAACACHTuJAWeZnJt8BAACmAwAADgAA&#10;AAAAAAABACAAAAAhAQAAZHJzL2Uyb0RvYy54bWxQSwUGAAAAAAYABgBZAQAAcgUAAAAA&#10;">
                <v:fill on="f" focussize="0,0"/>
                <v:stroke color="#000000" joinstyle="round"/>
                <v:imagedata o:title=""/>
                <o:lock v:ext="edit" aspectratio="f"/>
              </v:line>
            </w:pict>
          </mc:Fallback>
        </mc:AlternateContent>
      </w:r>
      <w:r>
        <w:rPr>
          <w:rFonts w:hint="eastAsia" w:ascii="仿宋_GB2312" w:hAnsi="仿宋_GB2312" w:eastAsia="仿宋_GB2312" w:cs="仿宋_GB2312"/>
          <w:snapToGrid/>
          <w:color w:val="000000"/>
          <w:kern w:val="2"/>
          <w:sz w:val="28"/>
          <w:szCs w:val="28"/>
          <w:lang w:val="en-US" w:eastAsia="zh-CN"/>
        </w:rPr>
        <w:t xml:space="preserve">淄博市卫生健康委员会办公室             </w:t>
      </w:r>
      <w:r>
        <w:rPr>
          <w:rFonts w:hint="eastAsia" w:ascii="Times New Roman" w:hAnsi="Times New Roman" w:eastAsia="仿宋_GB2312" w:cs="仿宋_GB2312"/>
          <w:snapToGrid/>
          <w:color w:val="000000"/>
          <w:kern w:val="2"/>
          <w:sz w:val="28"/>
          <w:szCs w:val="28"/>
          <w:lang w:val="en-US" w:eastAsia="zh-CN"/>
        </w:rPr>
        <w:t>2025</w:t>
      </w:r>
      <w:r>
        <w:rPr>
          <w:rFonts w:hint="eastAsia" w:ascii="仿宋_GB2312" w:hAnsi="仿宋_GB2312" w:eastAsia="仿宋_GB2312" w:cs="仿宋_GB2312"/>
          <w:snapToGrid/>
          <w:color w:val="000000"/>
          <w:kern w:val="2"/>
          <w:sz w:val="28"/>
          <w:szCs w:val="28"/>
          <w:lang w:val="en-US" w:eastAsia="zh-CN"/>
        </w:rPr>
        <w:t>年</w:t>
      </w:r>
      <w:r>
        <w:rPr>
          <w:rFonts w:hint="eastAsia" w:ascii="Times New Roman" w:hAnsi="Times New Roman" w:eastAsia="仿宋_GB2312" w:cs="仿宋_GB2312"/>
          <w:snapToGrid/>
          <w:color w:val="000000"/>
          <w:kern w:val="2"/>
          <w:sz w:val="28"/>
          <w:szCs w:val="28"/>
          <w:lang w:val="en-US" w:eastAsia="zh-CN"/>
        </w:rPr>
        <w:t>4</w:t>
      </w:r>
      <w:r>
        <w:rPr>
          <w:rFonts w:hint="eastAsia" w:ascii="仿宋_GB2312" w:hAnsi="仿宋_GB2312" w:eastAsia="仿宋_GB2312" w:cs="仿宋_GB2312"/>
          <w:snapToGrid/>
          <w:color w:val="000000"/>
          <w:kern w:val="2"/>
          <w:sz w:val="28"/>
          <w:szCs w:val="28"/>
          <w:lang w:val="en-US" w:eastAsia="zh-CN"/>
        </w:rPr>
        <w:t>月</w:t>
      </w:r>
      <w:r>
        <w:rPr>
          <w:rFonts w:hint="eastAsia" w:ascii="Times New Roman" w:hAnsi="Times New Roman" w:eastAsia="仿宋_GB2312" w:cs="仿宋_GB2312"/>
          <w:snapToGrid/>
          <w:color w:val="000000"/>
          <w:kern w:val="2"/>
          <w:sz w:val="28"/>
          <w:szCs w:val="28"/>
          <w:lang w:val="en-US" w:eastAsia="zh-CN"/>
        </w:rPr>
        <w:t>22</w:t>
      </w:r>
      <w:r>
        <w:rPr>
          <w:rFonts w:hint="eastAsia" w:ascii="仿宋_GB2312" w:hAnsi="仿宋_GB2312" w:eastAsia="仿宋_GB2312" w:cs="仿宋_GB2312"/>
          <w:snapToGrid/>
          <w:color w:val="000000"/>
          <w:kern w:val="2"/>
          <w:sz w:val="28"/>
          <w:szCs w:val="28"/>
          <w:lang w:val="en-US" w:eastAsia="zh-CN"/>
        </w:rPr>
        <w:t>日印发</w:t>
      </w:r>
    </w:p>
    <w:p/>
    <w:p>
      <w:pPr>
        <w:pStyle w:val="5"/>
      </w:pPr>
    </w:p>
    <w:p/>
    <w:p>
      <w:pPr>
        <w:pStyle w:val="5"/>
      </w:pPr>
    </w:p>
    <w:p/>
    <w:p>
      <w:pPr>
        <w:pStyle w:val="5"/>
      </w:pPr>
    </w:p>
    <w:p/>
    <w:p>
      <w:pPr>
        <w:pStyle w:val="5"/>
      </w:pPr>
    </w:p>
    <w:p>
      <w:pPr>
        <w:pStyle w:val="6"/>
        <w:spacing w:before="112" w:line="214" w:lineRule="auto"/>
        <w:ind w:firstLine="6720" w:firstLineChars="2400"/>
        <w:rPr>
          <w:rFonts w:hint="eastAsia" w:eastAsia="FangSong_GB2312"/>
          <w:sz w:val="28"/>
          <w:szCs w:val="28"/>
          <w:lang w:eastAsia="zh-CN"/>
        </w:rPr>
      </w:pPr>
    </w:p>
    <w:sectPr>
      <w:footerReference r:id="rId8" w:type="default"/>
      <w:pgSz w:w="11907" w:h="16839"/>
      <w:pgMar w:top="2098" w:right="1474" w:bottom="1984" w:left="1587" w:header="0" w:footer="952" w:gutter="0"/>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Cambria">
    <w:panose1 w:val="02040503050406030204"/>
    <w:charset w:val="00"/>
    <w:family w:val="auto"/>
    <w:pitch w:val="default"/>
    <w:sig w:usb0="E00002FF" w:usb1="400004FF" w:usb2="00000000" w:usb3="00000000" w:csb0="2000019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784"/>
      </w:tabs>
      <w:spacing w:line="234" w:lineRule="auto"/>
      <w:ind w:left="7428"/>
      <w:rPr>
        <w:rFonts w:hint="eastAsia" w:ascii="宋体" w:hAnsi="宋体" w:eastAsia="宋体" w:cs="宋体"/>
        <w:sz w:val="28"/>
        <w:szCs w:val="28"/>
        <w:lang w:eastAsia="zh-CN"/>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ascii="宋体" w:hAnsi="宋体" w:eastAsia="宋体" w:cs="宋体"/>
        <w:sz w:val="28"/>
        <w:szCs w:val="28"/>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784"/>
      </w:tabs>
      <w:spacing w:line="234" w:lineRule="auto"/>
      <w:ind w:left="7428"/>
      <w:rPr>
        <w:rFonts w:hint="eastAsia" w:ascii="宋体" w:hAnsi="宋体" w:eastAsia="宋体" w:cs="宋体"/>
        <w:sz w:val="28"/>
        <w:szCs w:val="28"/>
        <w:lang w:eastAsia="zh-CN"/>
      </w:rPr>
    </w:pPr>
    <w:r>
      <w:rPr>
        <w:sz w:val="2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ascii="宋体" w:hAnsi="宋体" w:eastAsia="宋体" w:cs="宋体"/>
        <w:sz w:val="28"/>
        <w:szCs w:val="28"/>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7825"/>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7"/>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6" w:lineRule="auto"/>
      <w:ind w:left="7820"/>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7"/>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5" w:lineRule="auto"/>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5" w:lineRule="auto"/>
      <w:rPr>
        <w:rFonts w:ascii="Calibri" w:hAnsi="Calibri" w:eastAsia="Calibri" w:cs="Calibri"/>
        <w:sz w:val="18"/>
        <w:szCs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documentProtection w:enforcement="0"/>
  <w:characterSpacingControl w:val="doNotCompress"/>
  <w:compat>
    <w:spaceForUL/>
    <w:ulTrailSpace/>
    <w:useFELayout/>
    <w:compatSetting w:name="compatibilityMode" w:uri="http://schemas.microsoft.com/office/word" w:val="14"/>
  </w:compat>
  <w:rsids>
    <w:rsidRoot w:val="00000000"/>
    <w:rsid w:val="067870DC"/>
    <w:rsid w:val="075B6618"/>
    <w:rsid w:val="0932465C"/>
    <w:rsid w:val="1CC17F9B"/>
    <w:rsid w:val="1E78037D"/>
    <w:rsid w:val="1F8E37E2"/>
    <w:rsid w:val="25436C58"/>
    <w:rsid w:val="271062B4"/>
    <w:rsid w:val="2A1831C5"/>
    <w:rsid w:val="2CB76920"/>
    <w:rsid w:val="32EE565A"/>
    <w:rsid w:val="3C7D01A8"/>
    <w:rsid w:val="3DEC4562"/>
    <w:rsid w:val="40A62E81"/>
    <w:rsid w:val="42902A74"/>
    <w:rsid w:val="512C3D35"/>
    <w:rsid w:val="56762F0D"/>
    <w:rsid w:val="578A55A4"/>
    <w:rsid w:val="5BE970C1"/>
    <w:rsid w:val="61A12126"/>
    <w:rsid w:val="646802C9"/>
    <w:rsid w:val="71D058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5">
    <w:name w:val="heading 2"/>
    <w:basedOn w:val="1"/>
    <w:next w:val="1"/>
    <w:qFormat/>
    <w:uiPriority w:val="0"/>
    <w:pPr>
      <w:tabs>
        <w:tab w:val="left" w:pos="720"/>
      </w:tabs>
      <w:autoSpaceDE/>
      <w:autoSpaceDN/>
      <w:spacing w:before="240"/>
      <w:jc w:val="both"/>
      <w:outlineLvl w:val="1"/>
    </w:pPr>
    <w:rPr>
      <w:rFonts w:ascii="宋体" w:hAnsi="宋体"/>
      <w:color w:val="000000"/>
      <w:kern w:val="0"/>
      <w:sz w:val="30"/>
      <w:szCs w:val="30"/>
    </w:rPr>
  </w:style>
  <w:style w:type="character" w:default="1" w:styleId="11">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footnote text"/>
    <w:basedOn w:val="1"/>
    <w:next w:val="3"/>
    <w:unhideWhenUsed/>
    <w:qFormat/>
    <w:uiPriority w:val="0"/>
    <w:pPr>
      <w:widowControl w:val="0"/>
      <w:snapToGrid w:val="0"/>
      <w:jc w:val="left"/>
    </w:pPr>
    <w:rPr>
      <w:rFonts w:hint="eastAsia"/>
      <w:snapToGrid w:val="0"/>
      <w:spacing w:val="-6"/>
      <w:sz w:val="18"/>
      <w:lang w:val="en-US" w:eastAsia="zh-CN"/>
    </w:rPr>
  </w:style>
  <w:style w:type="paragraph" w:styleId="3">
    <w:name w:val="Body Text First Indent 2"/>
    <w:basedOn w:val="4"/>
    <w:unhideWhenUsed/>
    <w:qFormat/>
    <w:uiPriority w:val="0"/>
    <w:pPr>
      <w:widowControl w:val="0"/>
      <w:ind w:firstLine="420" w:firstLineChars="200"/>
    </w:pPr>
    <w:rPr>
      <w:rFonts w:hint="eastAsia"/>
      <w:sz w:val="21"/>
      <w:lang w:val="en-US" w:eastAsia="zh-CN"/>
    </w:rPr>
  </w:style>
  <w:style w:type="paragraph" w:styleId="4">
    <w:name w:val="Body Text Indent"/>
    <w:basedOn w:val="1"/>
    <w:unhideWhenUsed/>
    <w:qFormat/>
    <w:uiPriority w:val="0"/>
    <w:pPr>
      <w:spacing w:after="120"/>
      <w:ind w:left="420" w:leftChars="200"/>
    </w:pPr>
    <w:rPr>
      <w:rFonts w:hint="eastAsia"/>
      <w:sz w:val="21"/>
    </w:rPr>
  </w:style>
  <w:style w:type="paragraph" w:styleId="6">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Subtitle"/>
    <w:basedOn w:val="1"/>
    <w:next w:val="1"/>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table" w:customStyle="1" w:styleId="12">
    <w:name w:val="Table Normal"/>
    <w:semiHidden/>
    <w:unhideWhenUsed/>
    <w:qFormat/>
    <w:uiPriority w:val="0"/>
    <w:tblPr>
      <w:tblLayout w:type="fixed"/>
      <w:tblCellMar>
        <w:top w:w="0" w:type="dxa"/>
        <w:left w:w="0" w:type="dxa"/>
        <w:bottom w:w="0" w:type="dxa"/>
        <w:right w:w="0" w:type="dxa"/>
      </w:tblCellMar>
    </w:tblPr>
  </w:style>
  <w:style w:type="paragraph" w:customStyle="1" w:styleId="13">
    <w:name w:val="文件名"/>
    <w:basedOn w:val="9"/>
    <w:qFormat/>
    <w:uiPriority w:val="0"/>
    <w:pPr>
      <w:spacing w:before="0" w:after="0" w:line="760" w:lineRule="exact"/>
    </w:pPr>
    <w:rPr>
      <w:rFonts w:ascii="方正小标宋简体" w:eastAsia="方正小标宋简体"/>
      <w:b w:val="0"/>
      <w:sz w:val="44"/>
      <w:szCs w:val="44"/>
    </w:rPr>
  </w:style>
  <w:style w:type="paragraph" w:customStyle="1" w:styleId="14">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Pages>
  <Words>3422</Words>
  <Characters>3496</Characters>
  <TotalTime>4</TotalTime>
  <ScaleCrop>false</ScaleCrop>
  <LinksUpToDate>false</LinksUpToDate>
  <CharactersWithSpaces>3499</CharactersWithSpaces>
  <Application>WPS Office_11.8.2.8506_F1E327BC-269C-435d-A152-05C5408002CA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2025-04-07T15:22:00Z</dcterms:created>
  <dc:creator>86185</dc:creator>
  <cp:lastModifiedBy>Administrator</cp:lastModifiedBy>
  <cp:lastPrinted>2025-04-22T01:22:00Z</cp:lastPrinted>
  <dcterms:modified xsi:type="dcterms:W3CDTF">2025-04-22T06:35:08Z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2025-04-07T15:24:23Z</vt:filetime>
  </property>
  <property fmtid="{D5CDD505-2E9C-101B-9397-08002B2CF9AE}" pid="4" name="KSOTemplateDocerSaveRecord">
    <vt:lpwstr>eyJoZGlkIjoiNTE2NzI2YzViZGJiNWNiM2Q1ZDlkM2RlMzZiMDI1ZWYiLCJ1c2VySWQiOiIzMjkyMzA5NjgifQ==</vt:lpwstr>
  </property>
  <property fmtid="{D5CDD505-2E9C-101B-9397-08002B2CF9AE}" pid="5" name="KSOProductBuildVer">
    <vt:lpwstr>2052-11.8.2.8506</vt:lpwstr>
  </property>
  <property fmtid="{D5CDD505-2E9C-101B-9397-08002B2CF9AE}" pid="6" name="ICV">
    <vt:lpwstr>118C4E1AFA494400A4F5ECDB6435F450_12</vt:lpwstr>
  </property>
</Properties>
</file>