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rPr>
        <w:t>2020年，淄博市卫生健康委员会严格落实《中华人民共和国政府信息公开条例》（以下简称《条例》）和《山东省政府信息公开办法》（以下简称《办法》）有关规定，扎实有效推进，取得了新的进展，现对2020年政府信息公开工作情况进行总结，具体情况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rPr>
        <w:t>一、总体情况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rPr>
        <w:t>  （一）健全组织，加强领导。为进一步加强对市卫生健康委政务公开工作的领导，切实做好信息公开工作，市卫生健康委及时调整政务公开工作领导小组，组长由市卫生健康委党组成员、副县级干部刘延军担任，各科室负责人及有关信息公开人员担任成员，并由办公室具体负责审查工作。领导小组下设办公室，并且明确了责任人，具体负责政府信息公开工作有关事宜，配备了必要的办公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rPr>
        <w:t>（二）突出公开重点、加强督促检查。积极主动做好政府信息公开，有关重大决策公开，重点领域政务公开，切实加强政策解读等工作。工作动态、决策信息、部门预决算表等信息，通过门户网站对外进行发布，从而保障公民、法人和其他组织依法获取政府信息，提高工作透明度。委办公室定期会同各科室对政府信息进行认真梳理，将本单位主动公开的信息及时主动公开。委信息公开工作领导小组定期不定期本单位信息公开工作进行督促检查，确保信息公开及时、准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rPr>
      </w:pPr>
      <w:r>
        <w:rPr>
          <w:rFonts w:hint="eastAsia" w:ascii="宋体" w:hAnsi="宋体" w:eastAsia="宋体" w:cs="宋体"/>
          <w:caps w:val="0"/>
          <w:color w:val="000000"/>
          <w:spacing w:val="0"/>
          <w:sz w:val="21"/>
          <w:szCs w:val="21"/>
          <w:shd w:val="clear" w:fill="FFFFFF"/>
        </w:rPr>
        <w:t>（三）主动公开政府信息的情况。坚持公开到位的原则，及时在我委网站公开通知公告、政策法规、部门动态、工作动态等各类信息。大力发展新媒体平台，拓展政务信息发布渠道。充分发挥新兴媒体的作用，通过“淄博卫生健康”政务微博、微信及时发布权威信息，主动回应社会关切，积极引导社会和网上舆论。</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lang w:eastAsia="zh-CN"/>
        </w:rPr>
      </w:pPr>
      <w:r>
        <w:rPr>
          <w:rFonts w:hint="eastAsia" w:ascii="宋体" w:hAnsi="宋体" w:eastAsia="宋体" w:cs="宋体"/>
          <w:caps w:val="0"/>
          <w:color w:val="000000"/>
          <w:spacing w:val="0"/>
          <w:sz w:val="21"/>
          <w:szCs w:val="21"/>
          <w:shd w:val="clear" w:fill="FFFFFF"/>
          <w:lang w:eastAsia="zh-CN"/>
        </w:rPr>
        <w:drawing>
          <wp:inline distT="0" distB="0" distL="114300" distR="114300">
            <wp:extent cx="3343275" cy="6038850"/>
            <wp:effectExtent l="0" t="0" r="9525" b="0"/>
            <wp:docPr id="4" name="图片 4" descr="微信截图_2021022215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10222155808"/>
                    <pic:cNvPicPr>
                      <a:picLocks noChangeAspect="1"/>
                    </pic:cNvPicPr>
                  </pic:nvPicPr>
                  <pic:blipFill>
                    <a:blip r:embed="rId4"/>
                    <a:stretch>
                      <a:fillRect/>
                    </a:stretch>
                  </pic:blipFill>
                  <pic:spPr>
                    <a:xfrm>
                      <a:off x="0" y="0"/>
                      <a:ext cx="3343275" cy="603885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right="0" w:firstLine="420" w:firstLineChars="200"/>
        <w:jc w:val="left"/>
      </w:pPr>
      <w:r>
        <w:rPr>
          <w:rFonts w:hint="eastAsia" w:ascii="宋体" w:hAnsi="宋体" w:eastAsia="宋体" w:cs="宋体"/>
          <w:caps w:val="0"/>
          <w:color w:val="000000"/>
          <w:spacing w:val="0"/>
          <w:sz w:val="21"/>
          <w:szCs w:val="21"/>
          <w:shd w:val="clear" w:fill="FFFFFF"/>
        </w:rPr>
        <w:t>（四）加强政务信息主动公开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rPr>
      </w:pPr>
      <w:r>
        <w:rPr>
          <w:rFonts w:hint="eastAsia" w:ascii="宋体" w:hAnsi="宋体" w:eastAsia="宋体" w:cs="宋体"/>
          <w:caps w:val="0"/>
          <w:color w:val="000000"/>
          <w:spacing w:val="0"/>
          <w:sz w:val="21"/>
          <w:szCs w:val="21"/>
          <w:shd w:val="clear" w:fill="FFFFFF"/>
        </w:rPr>
        <w:t>按照“应公开尽公开”的原则积极做好政务信息主动公开工作。根据政务信息公开的新形势新要求，对我委政府信息公开目录进行梳理调整，确定了机构职能、重点行政决策、法规公文、双随机一公开、政府会议、政务动态、政务公告、财政资金、医疗卫生、部门指南目录、政府信息公开年报等多个一级目录，对内容重复、有冲突的公开</w:t>
      </w:r>
      <w:r>
        <w:rPr>
          <w:rFonts w:hint="eastAsia" w:ascii="宋体" w:hAnsi="宋体" w:eastAsia="宋体" w:cs="宋体"/>
          <w:caps w:val="0"/>
          <w:color w:val="000000"/>
          <w:spacing w:val="0"/>
          <w:sz w:val="21"/>
          <w:szCs w:val="21"/>
          <w:shd w:val="clear" w:fill="FFFFFF"/>
          <w:lang w:val="en-US" w:eastAsia="zh-CN"/>
        </w:rPr>
        <w:t>条</w:t>
      </w:r>
      <w:r>
        <w:rPr>
          <w:rFonts w:hint="eastAsia" w:ascii="宋体" w:hAnsi="宋体" w:eastAsia="宋体" w:cs="宋体"/>
          <w:caps w:val="0"/>
          <w:color w:val="000000"/>
          <w:spacing w:val="0"/>
          <w:sz w:val="21"/>
          <w:szCs w:val="21"/>
          <w:shd w:val="clear" w:fill="FFFFFF"/>
        </w:rPr>
        <w:t>目进行了整合。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lang w:eastAsia="zh-CN"/>
        </w:rPr>
      </w:pPr>
      <w:r>
        <w:rPr>
          <w:rFonts w:hint="eastAsia" w:ascii="宋体" w:hAnsi="宋体" w:eastAsia="宋体" w:cs="宋体"/>
          <w:caps w:val="0"/>
          <w:color w:val="000000"/>
          <w:spacing w:val="0"/>
          <w:sz w:val="21"/>
          <w:szCs w:val="21"/>
          <w:shd w:val="clear" w:fill="FFFFFF"/>
          <w:lang w:eastAsia="zh-CN"/>
        </w:rPr>
        <w:drawing>
          <wp:inline distT="0" distB="0" distL="114300" distR="114300">
            <wp:extent cx="4944110" cy="3220720"/>
            <wp:effectExtent l="0" t="0" r="8890" b="17780"/>
            <wp:docPr id="1" name="图片 1" descr="微信截图_2021022215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10222155653"/>
                    <pic:cNvPicPr>
                      <a:picLocks noChangeAspect="1"/>
                    </pic:cNvPicPr>
                  </pic:nvPicPr>
                  <pic:blipFill>
                    <a:blip r:embed="rId5"/>
                    <a:stretch>
                      <a:fillRect/>
                    </a:stretch>
                  </pic:blipFill>
                  <pic:spPr>
                    <a:xfrm>
                      <a:off x="0" y="0"/>
                      <a:ext cx="4944110" cy="322072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rPr>
      </w:pPr>
      <w:r>
        <w:rPr>
          <w:rFonts w:hint="eastAsia" w:ascii="宋体" w:hAnsi="宋体" w:eastAsia="宋体" w:cs="宋体"/>
          <w:caps w:val="0"/>
          <w:color w:val="000000"/>
          <w:spacing w:val="0"/>
          <w:sz w:val="21"/>
          <w:szCs w:val="21"/>
          <w:shd w:val="clear" w:fill="FFFFFF"/>
        </w:rPr>
        <w:t>加强政务信息公开渠道建设，积极利用电视、广播、报纸、杂志、网站、宣传栏等传统渠道发布卫生计生政务信息，我委在政府网站公开信息数2800余条，其中规范公开性文件数2条。同时采用组织媒体集中采访报道、专项工作媒体访谈等形式发布重大政策或重点工作信息。今年以来，各大新闻媒体集中报道了我市“第一村医”基层医疗服务体系建设的经验做法，省市多家媒体跟踪拍摄第一村医、委属医院微视频近百部，取得了良好的社会效果。此外，我委积极做好微信公众平台的信息发布，确定专人负责信息更新，累计在“淄博卫生健康”发布微信6410余条，“淄博卫生”发布微博500余条，目前“淄博卫生”微博粉丝8132人、微信公众号关注数累计达到7万人。今年以来，我委在做好卫生</w:t>
      </w:r>
      <w:r>
        <w:rPr>
          <w:rFonts w:hint="eastAsia" w:ascii="宋体" w:hAnsi="宋体" w:eastAsia="宋体" w:cs="宋体"/>
          <w:caps w:val="0"/>
          <w:color w:val="000000"/>
          <w:spacing w:val="0"/>
          <w:sz w:val="21"/>
          <w:szCs w:val="21"/>
          <w:shd w:val="clear" w:fill="FFFFFF"/>
          <w:lang w:val="en-US" w:eastAsia="zh-CN"/>
        </w:rPr>
        <w:t>健康</w:t>
      </w:r>
      <w:r>
        <w:rPr>
          <w:rFonts w:hint="eastAsia" w:ascii="宋体" w:hAnsi="宋体" w:eastAsia="宋体" w:cs="宋体"/>
          <w:caps w:val="0"/>
          <w:color w:val="000000"/>
          <w:spacing w:val="0"/>
          <w:sz w:val="21"/>
          <w:szCs w:val="21"/>
          <w:shd w:val="clear" w:fill="FFFFFF"/>
        </w:rPr>
        <w:t>各项常规工作信息公开的同时，结合年度卫生</w:t>
      </w:r>
      <w:r>
        <w:rPr>
          <w:rFonts w:hint="eastAsia" w:ascii="宋体" w:hAnsi="宋体" w:eastAsia="宋体" w:cs="宋体"/>
          <w:caps w:val="0"/>
          <w:color w:val="000000"/>
          <w:spacing w:val="0"/>
          <w:sz w:val="21"/>
          <w:szCs w:val="21"/>
          <w:shd w:val="clear" w:fill="FFFFFF"/>
          <w:lang w:val="en-US" w:eastAsia="zh-CN"/>
        </w:rPr>
        <w:t>健康</w:t>
      </w:r>
      <w:r>
        <w:rPr>
          <w:rFonts w:hint="eastAsia" w:ascii="宋体" w:hAnsi="宋体" w:eastAsia="宋体" w:cs="宋体"/>
          <w:caps w:val="0"/>
          <w:color w:val="000000"/>
          <w:spacing w:val="0"/>
          <w:sz w:val="21"/>
          <w:szCs w:val="21"/>
          <w:shd w:val="clear" w:fill="FFFFFF"/>
        </w:rPr>
        <w:t>重点工作、重点项目以及特色亮点工作，专门在委机关网站上通过媒体聚集、政策法规、通知公告、政民互动等专题。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lang w:eastAsia="zh-CN"/>
        </w:rPr>
      </w:pPr>
      <w:r>
        <w:rPr>
          <w:rFonts w:hint="eastAsia" w:ascii="宋体" w:hAnsi="宋体" w:eastAsia="宋体" w:cs="宋体"/>
          <w:caps w:val="0"/>
          <w:color w:val="000000"/>
          <w:spacing w:val="0"/>
          <w:sz w:val="21"/>
          <w:szCs w:val="21"/>
          <w:shd w:val="clear" w:fill="FFFFFF"/>
          <w:lang w:eastAsia="zh-CN"/>
        </w:rPr>
        <w:drawing>
          <wp:inline distT="0" distB="0" distL="114300" distR="114300">
            <wp:extent cx="5273675" cy="3803015"/>
            <wp:effectExtent l="0" t="0" r="3175" b="6985"/>
            <wp:docPr id="3" name="图片 3" descr="微信截图_2021022215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10222155924"/>
                    <pic:cNvPicPr>
                      <a:picLocks noChangeAspect="1"/>
                    </pic:cNvPicPr>
                  </pic:nvPicPr>
                  <pic:blipFill>
                    <a:blip r:embed="rId6"/>
                    <a:stretch>
                      <a:fillRect/>
                    </a:stretch>
                  </pic:blipFill>
                  <pic:spPr>
                    <a:xfrm>
                      <a:off x="0" y="0"/>
                      <a:ext cx="5273675" cy="380301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rPr>
        <w:t>今年，我委共办理代表建议、政协提案56件。其中，代表建议11件，政协提案45件；由我委主办23件，会办31件，是近年来办理“两会”建议和提案最多的一年。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rPr>
      </w:pPr>
      <w:r>
        <w:rPr>
          <w:rFonts w:hint="eastAsia" w:ascii="宋体" w:hAnsi="宋体" w:eastAsia="宋体" w:cs="宋体"/>
          <w:caps w:val="0"/>
          <w:color w:val="000000"/>
          <w:spacing w:val="0"/>
          <w:sz w:val="21"/>
          <w:szCs w:val="21"/>
          <w:shd w:val="clear" w:fill="FFFFFF"/>
        </w:rPr>
        <w:t>今年的代表建议和政协提案主要涉及健康淄博建设、医疗质量、急救技能和知识普及、人才培养、青少年健康、社区卫生服务、中医中药、公立医院建设管理、医养结合等方面，范围广、针对性强，为我们更好地推进卫生健康工作提供了很好的意见和建议。我们根据建议提案所涉及的问题，在组织分析论证的基础上，制定工作措施，提出答复意见，充分发挥了人大代表建议和政协提案对卫生健康工作的指导作用，有力地促进了全市卫生健康工作水平的全面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rPr>
          <w:rFonts w:hint="eastAsia" w:ascii="宋体" w:hAnsi="宋体" w:eastAsia="宋体" w:cs="宋体"/>
          <w:caps w:val="0"/>
          <w:color w:val="000000"/>
          <w:spacing w:val="0"/>
          <w:sz w:val="21"/>
          <w:szCs w:val="21"/>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645"/>
      </w:pPr>
      <w:r>
        <w:rPr>
          <w:rFonts w:hint="eastAsia" w:ascii="宋体" w:hAnsi="宋体" w:eastAsia="宋体" w:cs="宋体"/>
          <w:caps w:val="0"/>
          <w:color w:val="3D3D3D"/>
          <w:spacing w:val="0"/>
          <w:sz w:val="21"/>
          <w:szCs w:val="21"/>
        </w:rPr>
        <w:t>二、主动公开政府信息情况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pPr>
      <w:r>
        <w:rPr>
          <w:rStyle w:val="5"/>
          <w:rFonts w:hint="eastAsia" w:ascii="宋体" w:hAnsi="宋体" w:eastAsia="宋体" w:cs="宋体"/>
          <w:caps w:val="0"/>
          <w:color w:val="3D3D3D"/>
          <w:spacing w:val="0"/>
          <w:sz w:val="21"/>
          <w:szCs w:val="21"/>
        </w:rPr>
        <w:t> </w:t>
      </w:r>
    </w:p>
    <w:tbl>
      <w:tblPr>
        <w:tblStyle w:val="3"/>
        <w:tblW w:w="8475" w:type="dxa"/>
        <w:tblInd w:w="3" w:type="dxa"/>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700"/>
        <w:gridCol w:w="1980"/>
        <w:gridCol w:w="2025"/>
        <w:gridCol w:w="1770"/>
      </w:tblGrid>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80" w:hRule="atLeast"/>
        </w:trPr>
        <w:tc>
          <w:tcPr>
            <w:tcW w:w="8475" w:type="dxa"/>
            <w:gridSpan w:val="4"/>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第二十条第（一）项</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555"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信息内容</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本年新制作数量</w:t>
            </w:r>
          </w:p>
        </w:tc>
        <w:tc>
          <w:tcPr>
            <w:tcW w:w="2025"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本年新</w:t>
            </w:r>
          </w:p>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公开数量</w:t>
            </w:r>
          </w:p>
        </w:tc>
        <w:tc>
          <w:tcPr>
            <w:tcW w:w="177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对外公开</w:t>
            </w:r>
          </w:p>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总数量</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555"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规章</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2025"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177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555"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规范性文件</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1</w:t>
            </w:r>
          </w:p>
        </w:tc>
        <w:tc>
          <w:tcPr>
            <w:tcW w:w="2025"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1</w:t>
            </w:r>
          </w:p>
        </w:tc>
        <w:tc>
          <w:tcPr>
            <w:tcW w:w="177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eastAsia="zh-CN"/>
              </w:rPr>
            </w:pPr>
            <w:r>
              <w:rPr>
                <w:rFonts w:hint="eastAsia" w:ascii="宋体" w:hAnsi="宋体" w:eastAsia="宋体" w:cs="宋体"/>
                <w:caps w:val="0"/>
                <w:color w:val="333333"/>
                <w:spacing w:val="0"/>
                <w:sz w:val="21"/>
                <w:szCs w:val="21"/>
                <w:lang w:val="en-US" w:eastAsia="zh-CN"/>
              </w:rPr>
              <w:t>2</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40" w:hRule="atLeast"/>
        </w:trPr>
        <w:tc>
          <w:tcPr>
            <w:tcW w:w="8475" w:type="dxa"/>
            <w:gridSpan w:val="4"/>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第二十条第（五）项</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630"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信息内容</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上一年项目数量</w:t>
            </w:r>
          </w:p>
        </w:tc>
        <w:tc>
          <w:tcPr>
            <w:tcW w:w="2025"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本年增/减</w:t>
            </w:r>
          </w:p>
        </w:tc>
        <w:tc>
          <w:tcPr>
            <w:tcW w:w="177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处理决定数量</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540"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行政许可</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default" w:eastAsiaTheme="minorEastAsia"/>
                <w:lang w:val="en-US" w:eastAsia="zh-CN"/>
              </w:rPr>
            </w:pPr>
            <w:r>
              <w:rPr>
                <w:rFonts w:hint="eastAsia" w:ascii="宋体" w:hAnsi="宋体" w:eastAsia="宋体" w:cs="宋体"/>
                <w:caps w:val="0"/>
                <w:color w:val="333333"/>
                <w:spacing w:val="0"/>
                <w:sz w:val="21"/>
                <w:szCs w:val="21"/>
                <w:lang w:val="en-US" w:eastAsia="zh-CN"/>
              </w:rPr>
              <w:t>17</w:t>
            </w:r>
          </w:p>
        </w:tc>
        <w:tc>
          <w:tcPr>
            <w:tcW w:w="2025"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default" w:eastAsiaTheme="minorEastAsia"/>
                <w:lang w:val="en-US" w:eastAsia="zh-CN"/>
              </w:rPr>
            </w:pPr>
            <w:r>
              <w:rPr>
                <w:rFonts w:hint="eastAsia" w:ascii="宋体" w:hAnsi="宋体" w:eastAsia="宋体" w:cs="宋体"/>
                <w:caps w:val="0"/>
                <w:color w:val="333333"/>
                <w:spacing w:val="0"/>
                <w:sz w:val="21"/>
                <w:szCs w:val="21"/>
                <w:lang w:val="en-US" w:eastAsia="zh-CN"/>
              </w:rPr>
              <w:t>-15</w:t>
            </w:r>
          </w:p>
        </w:tc>
        <w:tc>
          <w:tcPr>
            <w:tcW w:w="177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default" w:eastAsiaTheme="minorEastAsia"/>
                <w:lang w:val="en-US" w:eastAsia="zh-CN"/>
              </w:rPr>
            </w:pPr>
            <w:r>
              <w:rPr>
                <w:rFonts w:hint="eastAsia" w:ascii="宋体" w:hAnsi="宋体" w:eastAsia="宋体" w:cs="宋体"/>
                <w:caps w:val="0"/>
                <w:color w:val="333333"/>
                <w:spacing w:val="0"/>
                <w:sz w:val="21"/>
                <w:szCs w:val="21"/>
                <w:lang w:val="en-US" w:eastAsia="zh-CN"/>
              </w:rPr>
              <w:t>14</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40"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leftChars="0" w:right="0" w:rightChars="0"/>
              <w:rPr>
                <w:rFonts w:hint="eastAsia" w:ascii="宋体" w:hAnsi="宋体" w:eastAsia="宋体" w:cs="宋体"/>
                <w:caps w:val="0"/>
                <w:color w:val="333333"/>
                <w:spacing w:val="0"/>
                <w:sz w:val="21"/>
                <w:szCs w:val="21"/>
              </w:rPr>
            </w:pPr>
            <w:r>
              <w:rPr>
                <w:rFonts w:ascii="宋体" w:hAnsi="宋体" w:eastAsia="宋体" w:cs="宋体"/>
                <w:i w:val="0"/>
                <w:caps w:val="0"/>
                <w:color w:val="333333"/>
                <w:spacing w:val="0"/>
                <w:sz w:val="21"/>
                <w:szCs w:val="21"/>
                <w:shd w:val="clear" w:fill="FFFFFF"/>
              </w:rPr>
              <w:t>其他对外管理服务事项</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leftChars="0" w:right="0" w:rightChars="0"/>
              <w:jc w:val="center"/>
              <w:rPr>
                <w:rFonts w:hint="eastAsia" w:ascii="宋体" w:hAnsi="宋体" w:eastAsia="宋体" w:cs="宋体"/>
                <w:caps w:val="0"/>
                <w:color w:val="333333"/>
                <w:spacing w:val="0"/>
                <w:sz w:val="21"/>
                <w:szCs w:val="21"/>
              </w:rPr>
            </w:pPr>
            <w:r>
              <w:rPr>
                <w:rFonts w:hint="eastAsia" w:ascii="宋体" w:hAnsi="宋体" w:eastAsia="宋体" w:cs="宋体"/>
                <w:caps w:val="0"/>
                <w:color w:val="333333"/>
                <w:spacing w:val="0"/>
                <w:sz w:val="21"/>
                <w:szCs w:val="21"/>
              </w:rPr>
              <w:t>138</w:t>
            </w:r>
          </w:p>
        </w:tc>
        <w:tc>
          <w:tcPr>
            <w:tcW w:w="2025"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leftChars="0" w:right="0" w:rightChars="0"/>
              <w:jc w:val="center"/>
              <w:rPr>
                <w:rFonts w:hint="eastAsia" w:ascii="宋体" w:hAnsi="宋体" w:eastAsia="宋体" w:cs="宋体"/>
                <w:caps w:val="0"/>
                <w:color w:val="333333"/>
                <w:spacing w:val="0"/>
                <w:sz w:val="21"/>
                <w:szCs w:val="21"/>
              </w:rPr>
            </w:pPr>
            <w:r>
              <w:rPr>
                <w:rFonts w:ascii="宋体" w:hAnsi="宋体" w:eastAsia="宋体" w:cs="宋体"/>
                <w:i w:val="0"/>
                <w:caps w:val="0"/>
                <w:color w:val="333333"/>
                <w:spacing w:val="0"/>
                <w:sz w:val="21"/>
                <w:szCs w:val="21"/>
                <w:shd w:val="clear" w:fill="FFFFFF"/>
              </w:rPr>
              <w:t>0</w:t>
            </w:r>
          </w:p>
        </w:tc>
        <w:tc>
          <w:tcPr>
            <w:tcW w:w="177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leftChars="0" w:right="0" w:rightChars="0"/>
              <w:jc w:val="center"/>
              <w:rPr>
                <w:rFonts w:hint="eastAsia" w:ascii="宋体" w:hAnsi="宋体" w:eastAsia="宋体" w:cs="宋体"/>
                <w:caps w:val="0"/>
                <w:color w:val="333333"/>
                <w:spacing w:val="0"/>
                <w:sz w:val="21"/>
                <w:szCs w:val="21"/>
              </w:rPr>
            </w:pPr>
            <w:r>
              <w:rPr>
                <w:rFonts w:ascii="宋体" w:hAnsi="宋体" w:eastAsia="宋体" w:cs="宋体"/>
                <w:sz w:val="21"/>
                <w:szCs w:val="21"/>
              </w:rPr>
              <w:t>472</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405" w:hRule="atLeast"/>
        </w:trPr>
        <w:tc>
          <w:tcPr>
            <w:tcW w:w="8475" w:type="dxa"/>
            <w:gridSpan w:val="4"/>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第二十条第（六）项</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80"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信息内容</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上一年项目数量</w:t>
            </w:r>
          </w:p>
        </w:tc>
        <w:tc>
          <w:tcPr>
            <w:tcW w:w="2025"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本年增/减</w:t>
            </w:r>
          </w:p>
        </w:tc>
        <w:tc>
          <w:tcPr>
            <w:tcW w:w="177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处理决定数量</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35"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行政处罚</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default" w:eastAsiaTheme="minorEastAsia"/>
                <w:lang w:val="en-US" w:eastAsia="zh-CN"/>
              </w:rPr>
            </w:pPr>
            <w:r>
              <w:rPr>
                <w:rFonts w:hint="eastAsia" w:ascii="宋体" w:hAnsi="宋体" w:eastAsia="宋体" w:cs="宋体"/>
                <w:caps w:val="0"/>
                <w:color w:val="333333"/>
                <w:spacing w:val="0"/>
                <w:sz w:val="21"/>
                <w:szCs w:val="21"/>
                <w:lang w:val="en-US" w:eastAsia="zh-CN"/>
              </w:rPr>
              <w:t>75</w:t>
            </w:r>
          </w:p>
        </w:tc>
        <w:tc>
          <w:tcPr>
            <w:tcW w:w="2025"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default" w:eastAsiaTheme="minorEastAsia"/>
                <w:lang w:val="en-US" w:eastAsia="zh-CN"/>
              </w:rPr>
            </w:pPr>
            <w:r>
              <w:rPr>
                <w:rFonts w:hint="eastAsia" w:ascii="宋体" w:hAnsi="宋体" w:eastAsia="宋体" w:cs="宋体"/>
                <w:caps w:val="0"/>
                <w:color w:val="333333"/>
                <w:spacing w:val="0"/>
                <w:sz w:val="21"/>
                <w:szCs w:val="21"/>
                <w:lang w:val="en-US" w:eastAsia="zh-CN"/>
              </w:rPr>
              <w:t>+3</w:t>
            </w:r>
          </w:p>
        </w:tc>
        <w:tc>
          <w:tcPr>
            <w:tcW w:w="177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default" w:eastAsiaTheme="minorEastAsia"/>
                <w:lang w:val="en-US" w:eastAsia="zh-CN"/>
              </w:rPr>
            </w:pPr>
            <w:r>
              <w:rPr>
                <w:rFonts w:hint="eastAsia" w:ascii="宋体" w:hAnsi="宋体" w:eastAsia="宋体" w:cs="宋体"/>
                <w:caps w:val="0"/>
                <w:color w:val="333333"/>
                <w:spacing w:val="0"/>
                <w:sz w:val="21"/>
                <w:szCs w:val="21"/>
                <w:lang w:val="en-US" w:eastAsia="zh-CN"/>
              </w:rPr>
              <w:t>203</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435"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行政强制</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lang w:val="en-US" w:eastAsia="zh-CN"/>
              </w:rPr>
              <w:t>1</w:t>
            </w:r>
            <w:r>
              <w:rPr>
                <w:rFonts w:hint="eastAsia" w:ascii="宋体" w:hAnsi="宋体" w:eastAsia="宋体" w:cs="宋体"/>
                <w:caps w:val="0"/>
                <w:color w:val="333333"/>
                <w:spacing w:val="0"/>
                <w:sz w:val="21"/>
                <w:szCs w:val="21"/>
              </w:rPr>
              <w:t>0</w:t>
            </w:r>
          </w:p>
        </w:tc>
        <w:tc>
          <w:tcPr>
            <w:tcW w:w="2025"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177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465" w:hRule="atLeast"/>
        </w:trPr>
        <w:tc>
          <w:tcPr>
            <w:tcW w:w="8475" w:type="dxa"/>
            <w:gridSpan w:val="4"/>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第二十条第（八）项</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495"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信息内容</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上一年项目数量</w:t>
            </w:r>
          </w:p>
        </w:tc>
        <w:tc>
          <w:tcPr>
            <w:tcW w:w="3795" w:type="dxa"/>
            <w:gridSpan w:val="2"/>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本年增/减</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495"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行政事业性收费</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eastAsia="zh-CN"/>
              </w:rPr>
            </w:pPr>
            <w:r>
              <w:rPr>
                <w:rFonts w:hint="eastAsia" w:ascii="宋体" w:hAnsi="宋体" w:eastAsia="宋体" w:cs="宋体"/>
                <w:caps w:val="0"/>
                <w:color w:val="333333"/>
                <w:spacing w:val="0"/>
                <w:sz w:val="21"/>
                <w:szCs w:val="21"/>
                <w:lang w:val="en-US" w:eastAsia="zh-CN"/>
              </w:rPr>
              <w:t>6</w:t>
            </w:r>
          </w:p>
        </w:tc>
        <w:tc>
          <w:tcPr>
            <w:tcW w:w="3795" w:type="dxa"/>
            <w:gridSpan w:val="2"/>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default" w:eastAsiaTheme="minorEastAsia"/>
                <w:lang w:val="en-US" w:eastAsia="zh-CN"/>
              </w:rPr>
            </w:pPr>
            <w:r>
              <w:rPr>
                <w:rFonts w:hint="eastAsia" w:ascii="宋体" w:hAnsi="宋体" w:eastAsia="宋体" w:cs="宋体"/>
                <w:caps w:val="0"/>
                <w:color w:val="333333"/>
                <w:spacing w:val="0"/>
                <w:sz w:val="21"/>
                <w:szCs w:val="21"/>
                <w:lang w:val="en-US" w:eastAsia="zh-CN"/>
              </w:rPr>
              <w:t>+1</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480" w:hRule="atLeast"/>
        </w:trPr>
        <w:tc>
          <w:tcPr>
            <w:tcW w:w="8475" w:type="dxa"/>
            <w:gridSpan w:val="4"/>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第二十条第（九）项</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405"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信息内容</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采购项目数量</w:t>
            </w:r>
          </w:p>
        </w:tc>
        <w:tc>
          <w:tcPr>
            <w:tcW w:w="3795" w:type="dxa"/>
            <w:gridSpan w:val="2"/>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采购总金额</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435" w:hRule="atLeast"/>
        </w:trPr>
        <w:tc>
          <w:tcPr>
            <w:tcW w:w="2700"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政府集中采购</w:t>
            </w:r>
          </w:p>
        </w:tc>
        <w:tc>
          <w:tcPr>
            <w:tcW w:w="1980"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4</w:t>
            </w:r>
          </w:p>
        </w:tc>
        <w:tc>
          <w:tcPr>
            <w:tcW w:w="3795" w:type="dxa"/>
            <w:gridSpan w:val="2"/>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25.399万</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pPr>
      <w:r>
        <w:rPr>
          <w:rFonts w:hint="eastAsia" w:ascii="宋体" w:hAnsi="宋体" w:eastAsia="宋体" w:cs="宋体"/>
          <w:caps w:val="0"/>
          <w:color w:val="3D3D3D"/>
          <w:spacing w:val="0"/>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0"/>
      </w:pPr>
      <w:r>
        <w:rPr>
          <w:rFonts w:hint="eastAsia" w:ascii="宋体" w:hAnsi="宋体" w:eastAsia="宋体" w:cs="宋体"/>
          <w:caps w:val="0"/>
          <w:color w:val="3D3D3D"/>
          <w:spacing w:val="0"/>
          <w:sz w:val="21"/>
          <w:szCs w:val="21"/>
        </w:rPr>
        <w:t>三、收到和处理政府信息公开申请情况</w:t>
      </w:r>
    </w:p>
    <w:tbl>
      <w:tblPr>
        <w:tblStyle w:val="3"/>
        <w:tblW w:w="8475" w:type="dxa"/>
        <w:tblInd w:w="3" w:type="dxa"/>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667"/>
        <w:gridCol w:w="1635"/>
        <w:gridCol w:w="1857"/>
        <w:gridCol w:w="444"/>
        <w:gridCol w:w="746"/>
        <w:gridCol w:w="746"/>
        <w:gridCol w:w="746"/>
        <w:gridCol w:w="746"/>
        <w:gridCol w:w="444"/>
        <w:gridCol w:w="444"/>
      </w:tblGrid>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tblCellMar>
            <w:top w:w="15" w:type="dxa"/>
            <w:left w:w="15" w:type="dxa"/>
            <w:bottom w:w="15" w:type="dxa"/>
            <w:right w:w="15" w:type="dxa"/>
          </w:tblCellMar>
        </w:tblPrEx>
        <w:trPr>
          <w:trHeight w:val="450" w:hRule="atLeast"/>
        </w:trPr>
        <w:tc>
          <w:tcPr>
            <w:tcW w:w="4159" w:type="dxa"/>
            <w:gridSpan w:val="3"/>
            <w:vMerge w:val="restart"/>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（本列数据的勾稽关系为：第一项加第二项之和，等于第三项加第四项之和）</w:t>
            </w:r>
          </w:p>
        </w:tc>
        <w:tc>
          <w:tcPr>
            <w:tcW w:w="4316" w:type="dxa"/>
            <w:gridSpan w:val="7"/>
            <w:tcBorders>
              <w:top w:val="single" w:color="CCCCCC" w:sz="8" w:space="0"/>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申请人情况</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25" w:hRule="atLeast"/>
        </w:trPr>
        <w:tc>
          <w:tcPr>
            <w:tcW w:w="4159" w:type="dxa"/>
            <w:gridSpan w:val="3"/>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Segoe UI" w:hAnsi="Segoe UI" w:eastAsia="Segoe UI" w:cs="Segoe UI"/>
                <w:sz w:val="24"/>
                <w:szCs w:val="24"/>
              </w:rPr>
            </w:pPr>
          </w:p>
        </w:tc>
        <w:tc>
          <w:tcPr>
            <w:tcW w:w="444" w:type="dxa"/>
            <w:vMerge w:val="restart"/>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自然人</w:t>
            </w:r>
          </w:p>
        </w:tc>
        <w:tc>
          <w:tcPr>
            <w:tcW w:w="3428" w:type="dxa"/>
            <w:gridSpan w:val="5"/>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法人或其他组织</w:t>
            </w:r>
          </w:p>
        </w:tc>
        <w:tc>
          <w:tcPr>
            <w:tcW w:w="444" w:type="dxa"/>
            <w:vMerge w:val="restart"/>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总计</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1125" w:hRule="atLeast"/>
        </w:trPr>
        <w:tc>
          <w:tcPr>
            <w:tcW w:w="4159" w:type="dxa"/>
            <w:gridSpan w:val="3"/>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444"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商业企业</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科研机构</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社会公益组织</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法律服务机构</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其他</w:t>
            </w:r>
          </w:p>
        </w:tc>
        <w:tc>
          <w:tcPr>
            <w:tcW w:w="444"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50" w:hRule="atLeast"/>
        </w:trPr>
        <w:tc>
          <w:tcPr>
            <w:tcW w:w="4159" w:type="dxa"/>
            <w:gridSpan w:val="3"/>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一、本年新收政府信息公开申请数量</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eastAsia="zh-CN"/>
              </w:rPr>
            </w:pPr>
            <w:r>
              <w:rPr>
                <w:rFonts w:hint="eastAsia" w:ascii="宋体" w:hAnsi="宋体" w:eastAsia="宋体" w:cs="宋体"/>
                <w:caps w:val="0"/>
                <w:color w:val="333333"/>
                <w:spacing w:val="0"/>
                <w:sz w:val="21"/>
                <w:szCs w:val="21"/>
                <w:lang w:val="en-US" w:eastAsia="zh-CN"/>
              </w:rPr>
              <w:t>3</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eastAsia="zh-CN"/>
              </w:rPr>
            </w:pPr>
            <w:r>
              <w:rPr>
                <w:rFonts w:hint="eastAsia" w:ascii="宋体" w:hAnsi="宋体" w:eastAsia="宋体" w:cs="宋体"/>
                <w:caps w:val="0"/>
                <w:color w:val="333333"/>
                <w:spacing w:val="0"/>
                <w:sz w:val="21"/>
                <w:szCs w:val="21"/>
                <w:lang w:val="en-US" w:eastAsia="zh-CN"/>
              </w:rPr>
              <w:t>3</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05" w:hRule="atLeast"/>
        </w:trPr>
        <w:tc>
          <w:tcPr>
            <w:tcW w:w="4159" w:type="dxa"/>
            <w:gridSpan w:val="3"/>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二、上年结转政府信息公开申请数量</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667" w:type="dxa"/>
            <w:vMerge w:val="restart"/>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三、本年度办理结果</w:t>
            </w:r>
          </w:p>
        </w:tc>
        <w:tc>
          <w:tcPr>
            <w:tcW w:w="3492" w:type="dxa"/>
            <w:gridSpan w:val="2"/>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（一）予以公开</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1</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1</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3492" w:type="dxa"/>
            <w:gridSpan w:val="2"/>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（二）部分公开（区分处理的，只计这一情形，不计其他情形）</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95"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restart"/>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（三）不予公开</w:t>
            </w: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1．属于国家秘密</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2．其他法律行政法规禁止公开</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3．危及“三安全一稳定”</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90"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4．保护第三方合法权益</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eastAsia="zh-CN"/>
              </w:rPr>
            </w:pPr>
            <w:r>
              <w:rPr>
                <w:rFonts w:hint="eastAsia" w:ascii="宋体" w:hAnsi="宋体" w:eastAsia="宋体" w:cs="宋体"/>
                <w:caps w:val="0"/>
                <w:color w:val="333333"/>
                <w:spacing w:val="0"/>
                <w:sz w:val="21"/>
                <w:szCs w:val="21"/>
                <w:lang w:val="en-US" w:eastAsia="zh-CN"/>
              </w:rPr>
              <w:t>1</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eastAsia="zh-CN"/>
              </w:rPr>
            </w:pPr>
            <w:r>
              <w:rPr>
                <w:rFonts w:hint="eastAsia" w:ascii="宋体" w:hAnsi="宋体" w:eastAsia="宋体" w:cs="宋体"/>
                <w:caps w:val="0"/>
                <w:color w:val="333333"/>
                <w:spacing w:val="0"/>
                <w:sz w:val="21"/>
                <w:szCs w:val="21"/>
                <w:lang w:val="en-US" w:eastAsia="zh-CN"/>
              </w:rPr>
              <w:t>1</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5．属于三类内部事务信息</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05"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6．属于四类过程性信息</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7．属于行政执法案卷</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8．属于行政查询事项</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05"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restart"/>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（四）无法提供</w:t>
            </w: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1．本机关不掌握相关政府信息</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eastAsia="zh-CN"/>
              </w:rPr>
            </w:pPr>
            <w:r>
              <w:rPr>
                <w:rFonts w:hint="eastAsia" w:ascii="宋体" w:hAnsi="宋体" w:eastAsia="宋体" w:cs="宋体"/>
                <w:caps w:val="0"/>
                <w:color w:val="333333"/>
                <w:spacing w:val="0"/>
                <w:sz w:val="21"/>
                <w:szCs w:val="21"/>
                <w:lang w:val="en-US" w:eastAsia="zh-CN"/>
              </w:rPr>
              <w:t>2</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eastAsia="zh-CN"/>
              </w:rPr>
            </w:pPr>
            <w:r>
              <w:rPr>
                <w:rFonts w:hint="eastAsia" w:ascii="宋体" w:hAnsi="宋体" w:eastAsia="宋体" w:cs="宋体"/>
                <w:caps w:val="0"/>
                <w:color w:val="333333"/>
                <w:spacing w:val="0"/>
                <w:sz w:val="21"/>
                <w:szCs w:val="21"/>
                <w:lang w:val="en-US" w:eastAsia="zh-CN"/>
              </w:rPr>
              <w:t>2</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2．没有现成信息需要另行制作</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3．补正后申请内容仍不明确</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75"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restart"/>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（五）不予处理</w:t>
            </w: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1．信访举报投诉类申请</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2．重复申请</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90"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3．要求提供公开出版物</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4．无正当理由大量反复申请</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667" w:type="dxa"/>
            <w:vMerge w:val="continue"/>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635" w:type="dxa"/>
            <w:vMerge w:val="continue"/>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rPr>
                <w:rFonts w:hint="default" w:ascii="Segoe UI" w:hAnsi="Segoe UI" w:eastAsia="Segoe UI" w:cs="Segoe UI"/>
                <w:sz w:val="24"/>
                <w:szCs w:val="24"/>
              </w:rPr>
            </w:pPr>
          </w:p>
        </w:tc>
        <w:tc>
          <w:tcPr>
            <w:tcW w:w="1857"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180" w:right="0"/>
            </w:pPr>
            <w:r>
              <w:rPr>
                <w:rFonts w:hint="eastAsia" w:ascii="宋体" w:hAnsi="宋体" w:eastAsia="宋体" w:cs="宋体"/>
                <w:caps w:val="0"/>
                <w:color w:val="333333"/>
                <w:spacing w:val="0"/>
                <w:sz w:val="21"/>
                <w:szCs w:val="21"/>
              </w:rPr>
              <w:t>5．要求行政机关确认或重新出具已获取信息</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65" w:hRule="atLeast"/>
        </w:trPr>
        <w:tc>
          <w:tcPr>
            <w:tcW w:w="667"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21" w:lineRule="atLeast"/>
              <w:ind w:left="0" w:right="0" w:firstLine="0"/>
              <w:jc w:val="left"/>
            </w:pPr>
            <w:r>
              <w:rPr>
                <w:rFonts w:ascii="sans-serif" w:hAnsi="sans-serif" w:eastAsia="sans-serif" w:cs="sans-serif"/>
                <w:caps w:val="0"/>
                <w:color w:val="004372"/>
                <w:spacing w:val="0"/>
                <w:sz w:val="21"/>
                <w:szCs w:val="21"/>
              </w:rPr>
              <w:t> </w:t>
            </w:r>
          </w:p>
        </w:tc>
        <w:tc>
          <w:tcPr>
            <w:tcW w:w="3492" w:type="dxa"/>
            <w:gridSpan w:val="2"/>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（六）其他处理</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667" w:type="dxa"/>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21" w:lineRule="atLeast"/>
              <w:ind w:left="0" w:right="0" w:firstLine="0"/>
              <w:jc w:val="left"/>
            </w:pPr>
            <w:r>
              <w:rPr>
                <w:rFonts w:hint="default" w:ascii="sans-serif" w:hAnsi="sans-serif" w:eastAsia="sans-serif" w:cs="sans-serif"/>
                <w:caps w:val="0"/>
                <w:color w:val="004372"/>
                <w:spacing w:val="0"/>
                <w:sz w:val="21"/>
                <w:szCs w:val="21"/>
              </w:rPr>
              <w:t> </w:t>
            </w:r>
          </w:p>
        </w:tc>
        <w:tc>
          <w:tcPr>
            <w:tcW w:w="3492" w:type="dxa"/>
            <w:gridSpan w:val="2"/>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（七）总计</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eastAsia="zh-CN"/>
              </w:rPr>
            </w:pPr>
            <w:r>
              <w:rPr>
                <w:rFonts w:hint="eastAsia" w:ascii="宋体" w:hAnsi="宋体" w:eastAsia="宋体" w:cs="宋体"/>
                <w:caps w:val="0"/>
                <w:color w:val="333333"/>
                <w:spacing w:val="0"/>
                <w:sz w:val="21"/>
                <w:szCs w:val="21"/>
                <w:lang w:val="en-US" w:eastAsia="zh-CN"/>
              </w:rPr>
              <w:t>3</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rPr>
                <w:rFonts w:hint="eastAsia" w:eastAsiaTheme="minorEastAsia"/>
                <w:lang w:val="en-US" w:eastAsia="zh-CN"/>
              </w:rPr>
            </w:pPr>
            <w:r>
              <w:rPr>
                <w:rFonts w:hint="eastAsia"/>
                <w:lang w:val="en-US" w:eastAsia="zh-CN"/>
              </w:rPr>
              <w:t>3</w:t>
            </w:r>
          </w:p>
        </w:tc>
      </w:tr>
      <w:tr>
        <w:tblPrEx>
          <w:tblBorders>
            <w:top w:val="none" w:color="999999" w:sz="6" w:space="0"/>
            <w:left w:val="none" w:color="999999" w:sz="6" w:space="0"/>
            <w:bottom w:val="none" w:color="999999" w:sz="6" w:space="0"/>
            <w:right w:val="none" w:color="999999"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159" w:type="dxa"/>
            <w:gridSpan w:val="3"/>
            <w:tcBorders>
              <w:top w:val="nil"/>
              <w:left w:val="single" w:color="CCCCCC" w:sz="8" w:space="0"/>
              <w:bottom w:val="single" w:color="CCCCCC" w:sz="8" w:space="0"/>
              <w:right w:val="single" w:color="CCCCCC" w:sz="8" w:space="0"/>
            </w:tcBorders>
            <w:shd w:val="clear" w:color="auto" w:fill="auto"/>
            <w:tcMar>
              <w:top w:w="0" w:type="dxa"/>
              <w:left w:w="105" w:type="dxa"/>
              <w:bottom w:w="0" w:type="dxa"/>
              <w:right w:w="105" w:type="dxa"/>
            </w:tcMar>
            <w:vAlign w:val="center"/>
          </w:tcPr>
          <w:p>
            <w:pPr>
              <w:pStyle w:val="2"/>
              <w:keepNext w:val="0"/>
              <w:keepLines w:val="0"/>
              <w:widowControl/>
              <w:suppressLineNumbers w:val="0"/>
              <w:wordWrap w:val="0"/>
              <w:spacing w:before="0" w:beforeAutospacing="0" w:after="0" w:afterAutospacing="0" w:line="368" w:lineRule="atLeast"/>
              <w:ind w:left="0" w:right="0"/>
            </w:pPr>
            <w:r>
              <w:rPr>
                <w:rFonts w:hint="eastAsia" w:ascii="宋体" w:hAnsi="宋体" w:eastAsia="宋体" w:cs="宋体"/>
                <w:caps w:val="0"/>
                <w:color w:val="333333"/>
                <w:spacing w:val="0"/>
                <w:sz w:val="21"/>
                <w:szCs w:val="21"/>
              </w:rPr>
              <w:t>四、结转下年度继续办理</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746"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c>
          <w:tcPr>
            <w:tcW w:w="444" w:type="dxa"/>
            <w:tcBorders>
              <w:top w:val="nil"/>
              <w:left w:val="nil"/>
              <w:bottom w:val="single" w:color="CCCCCC" w:sz="8" w:space="0"/>
              <w:right w:val="single" w:color="CCCCCC" w:sz="8" w:space="0"/>
            </w:tcBorders>
            <w:shd w:val="clear" w:color="auto" w:fill="auto"/>
            <w:tcMar>
              <w:top w:w="0" w:type="dxa"/>
              <w:left w:w="105" w:type="dxa"/>
              <w:bottom w:w="0" w:type="dxa"/>
              <w:right w:w="105" w:type="dxa"/>
            </w:tcMar>
            <w:vAlign w:val="top"/>
          </w:tcPr>
          <w:p>
            <w:pPr>
              <w:pStyle w:val="2"/>
              <w:keepNext w:val="0"/>
              <w:keepLines w:val="0"/>
              <w:widowControl/>
              <w:suppressLineNumbers w:val="0"/>
              <w:wordWrap w:val="0"/>
              <w:spacing w:before="0" w:beforeAutospacing="0" w:after="0" w:afterAutospacing="0" w:line="368" w:lineRule="atLeast"/>
              <w:ind w:left="0" w:right="0"/>
              <w:jc w:val="center"/>
            </w:pPr>
            <w:r>
              <w:rPr>
                <w:rFonts w:hint="eastAsia" w:ascii="宋体" w:hAnsi="宋体" w:eastAsia="宋体" w:cs="宋体"/>
                <w:caps w:val="0"/>
                <w:color w:val="333333"/>
                <w:spacing w:val="0"/>
                <w:sz w:val="21"/>
                <w:szCs w:val="21"/>
              </w:rPr>
              <w:t>0</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645"/>
        <w:rPr>
          <w:rFonts w:ascii="微软雅黑" w:hAnsi="微软雅黑" w:eastAsia="微软雅黑" w:cs="微软雅黑"/>
          <w:i w:val="0"/>
          <w:caps w:val="0"/>
          <w:color w:val="3D3D3D"/>
          <w:spacing w:val="0"/>
          <w:sz w:val="22"/>
          <w:szCs w:val="22"/>
        </w:rPr>
      </w:pPr>
      <w:r>
        <w:rPr>
          <w:rFonts w:ascii="宋体" w:hAnsi="宋体" w:eastAsia="宋体" w:cs="宋体"/>
          <w:i w:val="0"/>
          <w:caps w:val="0"/>
          <w:color w:val="3D3D3D"/>
          <w:spacing w:val="0"/>
          <w:sz w:val="21"/>
          <w:szCs w:val="21"/>
          <w:shd w:val="clear" w:fill="FFFFFF"/>
        </w:rPr>
        <w:t>四、政府信息公开行政复议、行政诉讼情况</w:t>
      </w:r>
    </w:p>
    <w:tbl>
      <w:tblPr>
        <w:tblStyle w:val="3"/>
        <w:tblW w:w="9532" w:type="dxa"/>
        <w:tblInd w:w="0" w:type="dxa"/>
        <w:tblBorders>
          <w:top w:val="single" w:color="DCDCDC" w:sz="6" w:space="0"/>
          <w:left w:val="single" w:color="DCDCDC" w:sz="6" w:space="0"/>
          <w:bottom w:val="single" w:color="DCDCDC" w:sz="6" w:space="0"/>
          <w:right w:val="single" w:color="DCDCDC"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42"/>
        <w:gridCol w:w="697"/>
        <w:gridCol w:w="542"/>
        <w:gridCol w:w="542"/>
        <w:gridCol w:w="585"/>
        <w:gridCol w:w="1003"/>
        <w:gridCol w:w="542"/>
        <w:gridCol w:w="542"/>
        <w:gridCol w:w="542"/>
        <w:gridCol w:w="673"/>
        <w:gridCol w:w="811"/>
        <w:gridCol w:w="691"/>
        <w:gridCol w:w="539"/>
        <w:gridCol w:w="775"/>
        <w:gridCol w:w="506"/>
      </w:tblGrid>
      <w:tr>
        <w:tblPrEx>
          <w:tblBorders>
            <w:top w:val="single" w:color="DCDCDC" w:sz="6" w:space="0"/>
            <w:left w:val="single" w:color="DCDCDC" w:sz="6" w:space="0"/>
            <w:bottom w:val="single" w:color="DCDCDC" w:sz="6" w:space="0"/>
            <w:right w:val="single" w:color="DCDCDC"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65" w:hRule="atLeast"/>
        </w:trPr>
        <w:tc>
          <w:tcPr>
            <w:tcW w:w="2908" w:type="dxa"/>
            <w:gridSpan w:val="5"/>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行政复议</w:t>
            </w:r>
          </w:p>
        </w:tc>
        <w:tc>
          <w:tcPr>
            <w:tcW w:w="6624" w:type="dxa"/>
            <w:gridSpan w:val="10"/>
            <w:tcBorders>
              <w:top w:val="single" w:color="CCCCCC" w:sz="6" w:space="0"/>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行政诉讼</w:t>
            </w:r>
          </w:p>
        </w:tc>
      </w:tr>
      <w:tr>
        <w:tblPrEx>
          <w:tblBorders>
            <w:top w:val="single" w:color="DCDCDC" w:sz="6" w:space="0"/>
            <w:left w:val="single" w:color="DCDCDC" w:sz="6" w:space="0"/>
            <w:bottom w:val="single" w:color="DCDCDC" w:sz="6" w:space="0"/>
            <w:right w:val="single" w:color="DCDCDC"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70" w:hRule="atLeast"/>
        </w:trPr>
        <w:tc>
          <w:tcPr>
            <w:tcW w:w="542" w:type="dxa"/>
            <w:vMerge w:val="restart"/>
            <w:tcBorders>
              <w:top w:val="nil"/>
              <w:left w:val="single" w:color="CCCCCC" w:sz="6" w:space="0"/>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结果维持</w:t>
            </w:r>
          </w:p>
        </w:tc>
        <w:tc>
          <w:tcPr>
            <w:tcW w:w="697" w:type="dxa"/>
            <w:vMerge w:val="restart"/>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结果纠正</w:t>
            </w:r>
          </w:p>
        </w:tc>
        <w:tc>
          <w:tcPr>
            <w:tcW w:w="542" w:type="dxa"/>
            <w:vMerge w:val="restart"/>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其他结果</w:t>
            </w:r>
          </w:p>
        </w:tc>
        <w:tc>
          <w:tcPr>
            <w:tcW w:w="542" w:type="dxa"/>
            <w:vMerge w:val="restart"/>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尚未审结</w:t>
            </w:r>
          </w:p>
        </w:tc>
        <w:tc>
          <w:tcPr>
            <w:tcW w:w="585" w:type="dxa"/>
            <w:vMerge w:val="restart"/>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总计</w:t>
            </w:r>
          </w:p>
        </w:tc>
        <w:tc>
          <w:tcPr>
            <w:tcW w:w="3302" w:type="dxa"/>
            <w:gridSpan w:val="5"/>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未经复议直接起诉</w:t>
            </w:r>
          </w:p>
        </w:tc>
        <w:tc>
          <w:tcPr>
            <w:tcW w:w="3322" w:type="dxa"/>
            <w:gridSpan w:val="5"/>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复议后起诉</w:t>
            </w:r>
          </w:p>
        </w:tc>
      </w:tr>
      <w:tr>
        <w:tblPrEx>
          <w:tblBorders>
            <w:top w:val="single" w:color="DCDCDC" w:sz="6" w:space="0"/>
            <w:left w:val="single" w:color="DCDCDC" w:sz="6" w:space="0"/>
            <w:bottom w:val="single" w:color="DCDCDC" w:sz="6" w:space="0"/>
            <w:right w:val="single" w:color="DCDCDC" w:sz="6" w:space="0"/>
            <w:insideH w:val="none" w:color="auto" w:sz="0" w:space="0"/>
            <w:insideV w:val="none" w:color="auto" w:sz="0" w:space="0"/>
          </w:tblBorders>
          <w:shd w:val="clear" w:color="auto" w:fill="FFFFFF"/>
          <w:tblCellMar>
            <w:top w:w="0" w:type="dxa"/>
            <w:left w:w="0" w:type="dxa"/>
            <w:bottom w:w="0" w:type="dxa"/>
            <w:right w:w="0" w:type="dxa"/>
          </w:tblCellMar>
        </w:tblPrEx>
        <w:tc>
          <w:tcPr>
            <w:tcW w:w="542" w:type="dxa"/>
            <w:vMerge w:val="continue"/>
            <w:tcBorders>
              <w:top w:val="nil"/>
              <w:left w:val="single" w:color="CCCCCC" w:sz="6" w:space="0"/>
              <w:bottom w:val="single" w:color="CCCCCC" w:sz="6" w:space="0"/>
              <w:right w:val="single" w:color="CCCCCC" w:sz="6" w:space="0"/>
            </w:tcBorders>
            <w:shd w:val="clear" w:color="auto" w:fill="FFFFFF"/>
            <w:tcMar>
              <w:left w:w="105" w:type="dxa"/>
              <w:right w:w="105" w:type="dxa"/>
            </w:tcMar>
            <w:vAlign w:val="center"/>
          </w:tcPr>
          <w:p>
            <w:pPr>
              <w:rPr>
                <w:rFonts w:hint="eastAsia" w:ascii="sans-serif" w:hAnsi="sans-serif" w:eastAsia="sans-serif" w:cs="sans-serif"/>
                <w:i w:val="0"/>
                <w:caps w:val="0"/>
                <w:color w:val="004372"/>
                <w:spacing w:val="0"/>
                <w:sz w:val="21"/>
                <w:szCs w:val="21"/>
              </w:rPr>
            </w:pPr>
          </w:p>
        </w:tc>
        <w:tc>
          <w:tcPr>
            <w:tcW w:w="697" w:type="dxa"/>
            <w:vMerge w:val="continue"/>
            <w:tcBorders>
              <w:top w:val="nil"/>
              <w:left w:val="nil"/>
              <w:bottom w:val="single" w:color="CCCCCC" w:sz="6" w:space="0"/>
              <w:right w:val="single" w:color="CCCCCC" w:sz="6" w:space="0"/>
            </w:tcBorders>
            <w:shd w:val="clear" w:color="auto" w:fill="FFFFFF"/>
            <w:tcMar>
              <w:left w:w="105" w:type="dxa"/>
              <w:right w:w="105" w:type="dxa"/>
            </w:tcMar>
            <w:vAlign w:val="center"/>
          </w:tcPr>
          <w:p>
            <w:pPr>
              <w:rPr>
                <w:rFonts w:hint="default" w:ascii="sans-serif" w:hAnsi="sans-serif" w:eastAsia="sans-serif" w:cs="sans-serif"/>
                <w:i w:val="0"/>
                <w:caps w:val="0"/>
                <w:color w:val="004372"/>
                <w:spacing w:val="0"/>
                <w:sz w:val="21"/>
                <w:szCs w:val="21"/>
              </w:rPr>
            </w:pPr>
          </w:p>
        </w:tc>
        <w:tc>
          <w:tcPr>
            <w:tcW w:w="542" w:type="dxa"/>
            <w:vMerge w:val="continue"/>
            <w:tcBorders>
              <w:top w:val="nil"/>
              <w:left w:val="nil"/>
              <w:bottom w:val="single" w:color="CCCCCC" w:sz="6" w:space="0"/>
              <w:right w:val="single" w:color="CCCCCC" w:sz="6" w:space="0"/>
            </w:tcBorders>
            <w:shd w:val="clear" w:color="auto" w:fill="FFFFFF"/>
            <w:tcMar>
              <w:left w:w="105" w:type="dxa"/>
              <w:right w:w="105" w:type="dxa"/>
            </w:tcMar>
            <w:vAlign w:val="center"/>
          </w:tcPr>
          <w:p>
            <w:pPr>
              <w:rPr>
                <w:rFonts w:hint="default" w:ascii="sans-serif" w:hAnsi="sans-serif" w:eastAsia="sans-serif" w:cs="sans-serif"/>
                <w:i w:val="0"/>
                <w:caps w:val="0"/>
                <w:color w:val="004372"/>
                <w:spacing w:val="0"/>
                <w:sz w:val="21"/>
                <w:szCs w:val="21"/>
              </w:rPr>
            </w:pPr>
          </w:p>
        </w:tc>
        <w:tc>
          <w:tcPr>
            <w:tcW w:w="542" w:type="dxa"/>
            <w:vMerge w:val="continue"/>
            <w:tcBorders>
              <w:top w:val="nil"/>
              <w:left w:val="nil"/>
              <w:bottom w:val="single" w:color="CCCCCC" w:sz="6" w:space="0"/>
              <w:right w:val="single" w:color="CCCCCC" w:sz="6" w:space="0"/>
            </w:tcBorders>
            <w:shd w:val="clear" w:color="auto" w:fill="FFFFFF"/>
            <w:tcMar>
              <w:left w:w="105" w:type="dxa"/>
              <w:right w:w="105" w:type="dxa"/>
            </w:tcMar>
            <w:vAlign w:val="center"/>
          </w:tcPr>
          <w:p>
            <w:pPr>
              <w:rPr>
                <w:rFonts w:hint="default" w:ascii="sans-serif" w:hAnsi="sans-serif" w:eastAsia="sans-serif" w:cs="sans-serif"/>
                <w:i w:val="0"/>
                <w:caps w:val="0"/>
                <w:color w:val="004372"/>
                <w:spacing w:val="0"/>
                <w:sz w:val="21"/>
                <w:szCs w:val="21"/>
              </w:rPr>
            </w:pPr>
          </w:p>
        </w:tc>
        <w:tc>
          <w:tcPr>
            <w:tcW w:w="585" w:type="dxa"/>
            <w:vMerge w:val="continue"/>
            <w:tcBorders>
              <w:top w:val="nil"/>
              <w:left w:val="nil"/>
              <w:bottom w:val="single" w:color="CCCCCC" w:sz="6" w:space="0"/>
              <w:right w:val="single" w:color="CCCCCC" w:sz="6" w:space="0"/>
            </w:tcBorders>
            <w:shd w:val="clear" w:color="auto" w:fill="FFFFFF"/>
            <w:tcMar>
              <w:left w:w="105" w:type="dxa"/>
              <w:right w:w="105" w:type="dxa"/>
            </w:tcMar>
            <w:vAlign w:val="center"/>
          </w:tcPr>
          <w:p>
            <w:pPr>
              <w:rPr>
                <w:rFonts w:hint="default" w:ascii="sans-serif" w:hAnsi="sans-serif" w:eastAsia="sans-serif" w:cs="sans-serif"/>
                <w:i w:val="0"/>
                <w:caps w:val="0"/>
                <w:color w:val="004372"/>
                <w:spacing w:val="0"/>
                <w:sz w:val="21"/>
                <w:szCs w:val="21"/>
              </w:rPr>
            </w:pPr>
          </w:p>
        </w:tc>
        <w:tc>
          <w:tcPr>
            <w:tcW w:w="1003"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结果维持</w:t>
            </w:r>
          </w:p>
        </w:tc>
        <w:tc>
          <w:tcPr>
            <w:tcW w:w="542"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结果纠正</w:t>
            </w:r>
          </w:p>
        </w:tc>
        <w:tc>
          <w:tcPr>
            <w:tcW w:w="542"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其他结果</w:t>
            </w:r>
          </w:p>
        </w:tc>
        <w:tc>
          <w:tcPr>
            <w:tcW w:w="542"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尚未审结</w:t>
            </w:r>
          </w:p>
        </w:tc>
        <w:tc>
          <w:tcPr>
            <w:tcW w:w="673"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总计</w:t>
            </w:r>
          </w:p>
        </w:tc>
        <w:tc>
          <w:tcPr>
            <w:tcW w:w="811"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结果维持</w:t>
            </w:r>
          </w:p>
        </w:tc>
        <w:tc>
          <w:tcPr>
            <w:tcW w:w="691"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结果纠正</w:t>
            </w:r>
          </w:p>
        </w:tc>
        <w:tc>
          <w:tcPr>
            <w:tcW w:w="539"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其他结果</w:t>
            </w:r>
          </w:p>
        </w:tc>
        <w:tc>
          <w:tcPr>
            <w:tcW w:w="775"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尚未审结</w:t>
            </w:r>
          </w:p>
        </w:tc>
        <w:tc>
          <w:tcPr>
            <w:tcW w:w="506"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总计</w:t>
            </w:r>
          </w:p>
        </w:tc>
      </w:tr>
      <w:tr>
        <w:tblPrEx>
          <w:tblBorders>
            <w:top w:val="single" w:color="DCDCDC" w:sz="6" w:space="0"/>
            <w:left w:val="single" w:color="DCDCDC" w:sz="6" w:space="0"/>
            <w:bottom w:val="single" w:color="DCDCDC" w:sz="6" w:space="0"/>
            <w:right w:val="single" w:color="DCDCDC"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70" w:hRule="atLeast"/>
        </w:trPr>
        <w:tc>
          <w:tcPr>
            <w:tcW w:w="542" w:type="dxa"/>
            <w:tcBorders>
              <w:top w:val="nil"/>
              <w:left w:val="single" w:color="CCCCCC" w:sz="6" w:space="0"/>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697"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542"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542"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585"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1003"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542"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542"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542"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673"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811"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691"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539"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775"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c>
          <w:tcPr>
            <w:tcW w:w="506" w:type="dxa"/>
            <w:tcBorders>
              <w:top w:val="nil"/>
              <w:left w:val="nil"/>
              <w:bottom w:val="single" w:color="CCCCCC" w:sz="6" w:space="0"/>
              <w:right w:val="single" w:color="CCCCCC" w:sz="6" w:space="0"/>
            </w:tcBorders>
            <w:shd w:val="clear" w:color="auto" w:fill="FFFFFF"/>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color w:val="333333"/>
                <w:sz w:val="22"/>
                <w:szCs w:val="22"/>
              </w:rPr>
            </w:pPr>
            <w:r>
              <w:rPr>
                <w:rFonts w:ascii="宋体" w:hAnsi="宋体" w:eastAsia="宋体" w:cs="宋体"/>
                <w:i w:val="0"/>
                <w:caps w:val="0"/>
                <w:color w:val="333333"/>
                <w:spacing w:val="0"/>
                <w:sz w:val="21"/>
                <w:szCs w:val="21"/>
              </w:rPr>
              <w:t>0</w:t>
            </w:r>
          </w:p>
        </w:tc>
      </w:tr>
    </w:tbl>
    <w:p>
      <w:pPr>
        <w:pStyle w:val="2"/>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right="0" w:rightChars="0"/>
        <w:jc w:val="left"/>
        <w:rPr>
          <w:rFonts w:ascii="宋体" w:hAnsi="宋体" w:eastAsia="宋体" w:cs="宋体"/>
          <w:i w:val="0"/>
          <w:caps w:val="0"/>
          <w:color w:val="3D3D3D"/>
          <w:spacing w:val="0"/>
          <w:sz w:val="21"/>
          <w:szCs w:val="21"/>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lang w:val="en-US" w:eastAsia="zh-CN"/>
        </w:rPr>
        <w:t>五</w:t>
      </w:r>
      <w:r>
        <w:rPr>
          <w:rFonts w:hint="eastAsia" w:ascii="宋体" w:hAnsi="宋体" w:eastAsia="宋体" w:cs="宋体"/>
          <w:caps w:val="0"/>
          <w:color w:val="000000"/>
          <w:spacing w:val="0"/>
          <w:sz w:val="21"/>
          <w:szCs w:val="21"/>
          <w:shd w:val="clear" w:fill="FFFFFF"/>
        </w:rPr>
        <w:t>、存在的主要问题及改进情况</w:t>
      </w:r>
    </w:p>
    <w:p>
      <w:pPr>
        <w:keepNext w:val="0"/>
        <w:keepLines w:val="0"/>
        <w:widowControl/>
        <w:suppressLineNumbers w:val="0"/>
        <w:ind w:firstLine="420" w:firstLineChars="200"/>
        <w:jc w:val="left"/>
      </w:pPr>
      <w:r>
        <w:rPr>
          <w:rFonts w:hint="eastAsia" w:ascii="宋体" w:hAnsi="宋体" w:eastAsia="宋体" w:cs="宋体"/>
          <w:caps w:val="0"/>
          <w:color w:val="000000"/>
          <w:spacing w:val="0"/>
          <w:kern w:val="0"/>
          <w:sz w:val="21"/>
          <w:szCs w:val="21"/>
          <w:shd w:val="clear" w:fill="FFFFFF"/>
          <w:lang w:val="en-US" w:eastAsia="zh-CN" w:bidi="ar"/>
        </w:rPr>
        <w:t>淄博市卫生健康委员会较去年政府信息公开工作有进步和改善，但是与新的政务 公开工作要求相比，还存在一定的差距。主要体现在：因新冠肺炎疫情影响，卫生防疫工作相关政策调整比较多，文件解读数量较少，政府开放日活动举办较少，影响政务公开成效；政府信息公开工作人员业务水平有待提高。需要继续完善卫生健康信息公开制度，积极组织政务公开工作培训会议，加强委办公室和各科室、下属单位的协调沟通，规范信息报送流程，谁制作谁公开谁报备，提高信息公开工作效率和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lang w:val="en-US" w:eastAsia="zh-CN"/>
        </w:rPr>
        <w:t>六</w:t>
      </w:r>
      <w:r>
        <w:rPr>
          <w:rFonts w:hint="eastAsia" w:ascii="宋体" w:hAnsi="宋体" w:eastAsia="宋体" w:cs="宋体"/>
          <w:caps w:val="0"/>
          <w:color w:val="000000"/>
          <w:spacing w:val="0"/>
          <w:sz w:val="21"/>
          <w:szCs w:val="21"/>
          <w:shd w:val="clear" w:fill="FFFFFF"/>
        </w:rPr>
        <w:t>、其他需要报告的事项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rPr>
        <w:t>  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ind w:left="0" w:right="0" w:firstLine="420"/>
        <w:jc w:val="left"/>
      </w:pPr>
      <w:r>
        <w:rPr>
          <w:rFonts w:hint="eastAsia" w:ascii="宋体" w:hAnsi="宋体" w:eastAsia="宋体" w:cs="宋体"/>
          <w:caps w:val="0"/>
          <w:color w:val="000000"/>
          <w:spacing w:val="0"/>
          <w:sz w:val="21"/>
          <w:szCs w:val="21"/>
          <w:shd w:val="clear" w:fill="FFFFFF"/>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3718DD"/>
    <w:rsid w:val="1A3718DD"/>
    <w:rsid w:val="50EA1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0" w:after="0" w:afterAutospacing="0" w:line="24" w:lineRule="atLeast"/>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qFormat/>
    <w:uiPriority w:val="0"/>
    <w:rPr>
      <w:color w:val="800080"/>
      <w:u w:val="none"/>
    </w:rPr>
  </w:style>
  <w:style w:type="character" w:styleId="7">
    <w:name w:val="Hyperlink"/>
    <w:basedOn w:val="4"/>
    <w:uiPriority w:val="0"/>
    <w:rPr>
      <w:color w:val="0000FF"/>
      <w:u w:val="none"/>
    </w:rPr>
  </w:style>
  <w:style w:type="character" w:styleId="8">
    <w:name w:val="HTML Code"/>
    <w:basedOn w:val="4"/>
    <w:qFormat/>
    <w:uiPriority w:val="0"/>
    <w:rPr>
      <w:rFonts w:ascii="Courier New" w:hAnsi="Courier New"/>
      <w:sz w:val="20"/>
      <w:shd w:val="clear" w:fill="E8E8E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2021-02-05T02:30:00Z</dcterms:created>
  <dc:creator>小雪</dc:creator>
  <cp:lastModifiedBy>小雪</cp:lastModifiedBy>
  <dcterms:modified xsi:type="dcterms:W3CDTF">2021-02-22T08:09:17Z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